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10" w:rsidRPr="00C973D3" w:rsidRDefault="00982E90" w:rsidP="00AB3F10">
      <w:pPr>
        <w:pStyle w:val="Blockquote"/>
        <w:ind w:left="709"/>
        <w:jc w:val="center"/>
        <w:rPr>
          <w:b/>
          <w:i/>
          <w:sz w:val="22"/>
          <w:lang w:val="en-GB"/>
        </w:rPr>
      </w:pPr>
      <w:r w:rsidRPr="00C973D3">
        <w:rPr>
          <w:b/>
          <w:sz w:val="22"/>
          <w:lang w:val="en-GB"/>
        </w:rPr>
        <w:t>REFERENCE</w:t>
      </w:r>
      <w:r w:rsidR="00A40FA0" w:rsidRPr="00C973D3">
        <w:rPr>
          <w:b/>
          <w:sz w:val="22"/>
          <w:lang w:val="en-GB"/>
        </w:rPr>
        <w:t>:</w:t>
      </w:r>
      <w:r w:rsidR="00DA1462" w:rsidRPr="00C973D3">
        <w:rPr>
          <w:b/>
          <w:sz w:val="22"/>
          <w:lang w:val="en-GB"/>
        </w:rPr>
        <w:t xml:space="preserve"> </w:t>
      </w:r>
      <w:r w:rsidR="00D71E0B">
        <w:rPr>
          <w:rStyle w:val="Emphasis"/>
          <w:b/>
          <w:i w:val="0"/>
          <w:sz w:val="22"/>
          <w:lang w:val="en-GB"/>
        </w:rPr>
        <w:t>PDT SRB1801–012</w:t>
      </w:r>
    </w:p>
    <w:p w:rsidR="003436FE" w:rsidRPr="00C973D3" w:rsidRDefault="003436FE">
      <w:pPr>
        <w:pStyle w:val="Subtitle"/>
        <w:spacing w:after="240"/>
        <w:rPr>
          <w:sz w:val="20"/>
          <w:lang w:val="en-GB"/>
        </w:rPr>
      </w:pPr>
    </w:p>
    <w:p w:rsidR="003436FE" w:rsidRPr="0040070F" w:rsidRDefault="003436FE">
      <w:pPr>
        <w:pStyle w:val="Subtitle"/>
        <w:spacing w:after="240"/>
        <w:jc w:val="both"/>
        <w:rPr>
          <w:sz w:val="22"/>
          <w:szCs w:val="22"/>
          <w:lang w:val="en-GB"/>
        </w:rPr>
      </w:pPr>
      <w:r w:rsidRPr="0040070F">
        <w:rPr>
          <w:sz w:val="22"/>
          <w:szCs w:val="22"/>
          <w:lang w:val="en-GB"/>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40070F" w:rsidRDefault="003436FE">
      <w:pPr>
        <w:pStyle w:val="Subtitle"/>
        <w:spacing w:after="240"/>
        <w:jc w:val="both"/>
        <w:rPr>
          <w:sz w:val="22"/>
          <w:szCs w:val="22"/>
          <w:lang w:val="en-GB"/>
        </w:rPr>
      </w:pPr>
      <w:r w:rsidRPr="0040070F">
        <w:rPr>
          <w:sz w:val="22"/>
          <w:szCs w:val="22"/>
          <w:lang w:val="en-GB"/>
        </w:rPr>
        <w:t xml:space="preserve">These instructions set out the rules for submitting, selecting and implementing contracts financed under this call for tenders, in conformity with the Practical Guide, (available on the internet at this address: </w:t>
      </w:r>
      <w:hyperlink r:id="rId8" w:history="1">
        <w:r w:rsidR="00996707" w:rsidRPr="0040070F">
          <w:rPr>
            <w:rStyle w:val="Hyperlink"/>
            <w:sz w:val="22"/>
            <w:szCs w:val="22"/>
            <w:lang w:val="en-GB"/>
          </w:rPr>
          <w:t>http://ec.europa.eu/europeaid/prag/document.do</w:t>
        </w:r>
      </w:hyperlink>
      <w:r w:rsidR="00996707" w:rsidRPr="0040070F">
        <w:rPr>
          <w:sz w:val="22"/>
          <w:szCs w:val="22"/>
          <w:lang w:val="en-GB"/>
        </w:rPr>
        <w:t xml:space="preserve"> </w:t>
      </w:r>
      <w:r w:rsidRPr="0040070F">
        <w:rPr>
          <w:sz w:val="22"/>
          <w:szCs w:val="22"/>
          <w:lang w:val="en-GB"/>
        </w:rPr>
        <w:t xml:space="preserve">). </w:t>
      </w:r>
    </w:p>
    <w:p w:rsidR="003436FE" w:rsidRPr="0040070F" w:rsidRDefault="003436FE" w:rsidP="006052F7">
      <w:pPr>
        <w:keepNext/>
        <w:numPr>
          <w:ilvl w:val="0"/>
          <w:numId w:val="4"/>
        </w:numPr>
        <w:spacing w:before="120" w:after="120"/>
        <w:jc w:val="both"/>
        <w:rPr>
          <w:b/>
          <w:sz w:val="22"/>
          <w:szCs w:val="22"/>
        </w:rPr>
      </w:pPr>
      <w:r w:rsidRPr="0040070F">
        <w:rPr>
          <w:b/>
          <w:sz w:val="22"/>
          <w:szCs w:val="22"/>
        </w:rPr>
        <w:t>Services to be provided</w:t>
      </w:r>
    </w:p>
    <w:p w:rsidR="003436FE" w:rsidRPr="0040070F" w:rsidRDefault="003436FE">
      <w:pPr>
        <w:spacing w:after="120"/>
        <w:jc w:val="both"/>
        <w:rPr>
          <w:sz w:val="22"/>
          <w:szCs w:val="22"/>
        </w:rPr>
      </w:pPr>
      <w:r w:rsidRPr="0040070F">
        <w:rPr>
          <w:sz w:val="22"/>
          <w:szCs w:val="22"/>
        </w:rPr>
        <w:t>The services required by the Contracting Authority are described in the Terms of Reference. They are set out in Annex II to the draft contract, which forms Part B of this tender dossier.</w:t>
      </w:r>
    </w:p>
    <w:p w:rsidR="003436FE" w:rsidRPr="0040070F" w:rsidRDefault="003436FE" w:rsidP="006052F7">
      <w:pPr>
        <w:keepNext/>
        <w:numPr>
          <w:ilvl w:val="0"/>
          <w:numId w:val="4"/>
        </w:numPr>
        <w:spacing w:before="120" w:after="120"/>
        <w:jc w:val="both"/>
        <w:rPr>
          <w:b/>
          <w:sz w:val="22"/>
          <w:szCs w:val="22"/>
        </w:rPr>
      </w:pPr>
      <w:bookmarkStart w:id="0" w:name="_Ref499723935"/>
      <w:r w:rsidRPr="0040070F">
        <w:rPr>
          <w:b/>
          <w:sz w:val="22"/>
          <w:szCs w:val="22"/>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40070F" w:rsidTr="00010683">
        <w:tc>
          <w:tcPr>
            <w:tcW w:w="4820" w:type="dxa"/>
            <w:tcBorders>
              <w:bottom w:val="nil"/>
            </w:tcBorders>
          </w:tcPr>
          <w:p w:rsidR="003436FE" w:rsidRPr="0040070F" w:rsidRDefault="003436FE">
            <w:pPr>
              <w:rPr>
                <w:sz w:val="22"/>
                <w:szCs w:val="22"/>
              </w:rPr>
            </w:pPr>
          </w:p>
        </w:tc>
        <w:tc>
          <w:tcPr>
            <w:tcW w:w="1972" w:type="dxa"/>
            <w:shd w:val="pct10" w:color="auto" w:fill="FFFFFF"/>
          </w:tcPr>
          <w:p w:rsidR="003436FE" w:rsidRPr="0040070F" w:rsidRDefault="003436FE">
            <w:pPr>
              <w:jc w:val="center"/>
              <w:rPr>
                <w:b/>
                <w:sz w:val="22"/>
                <w:szCs w:val="22"/>
              </w:rPr>
            </w:pPr>
            <w:r w:rsidRPr="0040070F">
              <w:rPr>
                <w:b/>
                <w:sz w:val="22"/>
                <w:szCs w:val="22"/>
              </w:rPr>
              <w:t>DATE</w:t>
            </w:r>
          </w:p>
        </w:tc>
        <w:tc>
          <w:tcPr>
            <w:tcW w:w="1572" w:type="dxa"/>
            <w:tcBorders>
              <w:bottom w:val="nil"/>
            </w:tcBorders>
            <w:shd w:val="pct10" w:color="auto" w:fill="FFFFFF"/>
          </w:tcPr>
          <w:p w:rsidR="003436FE" w:rsidRPr="0040070F" w:rsidRDefault="003436FE">
            <w:pPr>
              <w:jc w:val="center"/>
              <w:rPr>
                <w:b/>
                <w:sz w:val="22"/>
                <w:szCs w:val="22"/>
              </w:rPr>
            </w:pPr>
            <w:r w:rsidRPr="0040070F">
              <w:rPr>
                <w:b/>
                <w:sz w:val="22"/>
                <w:szCs w:val="22"/>
              </w:rPr>
              <w:t>TIME*</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Deadline for requesting clarification from the Contracting Authority</w:t>
            </w:r>
          </w:p>
        </w:tc>
        <w:tc>
          <w:tcPr>
            <w:tcW w:w="1972" w:type="dxa"/>
          </w:tcPr>
          <w:p w:rsidR="003436FE" w:rsidRPr="0040070F" w:rsidRDefault="003D6976" w:rsidP="00923797">
            <w:pPr>
              <w:spacing w:before="120" w:after="120"/>
              <w:jc w:val="center"/>
              <w:rPr>
                <w:sz w:val="22"/>
                <w:szCs w:val="22"/>
              </w:rPr>
            </w:pPr>
            <w:r>
              <w:rPr>
                <w:sz w:val="22"/>
                <w:szCs w:val="22"/>
              </w:rPr>
              <w:t>05</w:t>
            </w:r>
            <w:r w:rsidR="00D9477B">
              <w:rPr>
                <w:sz w:val="22"/>
                <w:szCs w:val="22"/>
              </w:rPr>
              <w:t>.03</w:t>
            </w:r>
            <w:r w:rsidR="00942607" w:rsidRPr="0040070F">
              <w:rPr>
                <w:sz w:val="22"/>
                <w:szCs w:val="22"/>
              </w:rPr>
              <w:t>.201</w:t>
            </w:r>
            <w:r w:rsidR="00D9477B">
              <w:rPr>
                <w:sz w:val="22"/>
                <w:szCs w:val="22"/>
              </w:rPr>
              <w:t>9</w:t>
            </w:r>
          </w:p>
        </w:tc>
        <w:tc>
          <w:tcPr>
            <w:tcW w:w="1572" w:type="dxa"/>
          </w:tcPr>
          <w:p w:rsidR="003436FE" w:rsidRPr="0040070F" w:rsidRDefault="00527CB9" w:rsidP="004C0ADB">
            <w:pPr>
              <w:spacing w:before="120" w:after="120"/>
              <w:jc w:val="center"/>
              <w:rPr>
                <w:sz w:val="22"/>
                <w:szCs w:val="22"/>
              </w:rPr>
            </w:pPr>
            <w:r w:rsidRPr="0040070F">
              <w:rPr>
                <w:sz w:val="22"/>
                <w:szCs w:val="22"/>
              </w:rPr>
              <w:t>-</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 xml:space="preserve">Last date for the Contracting Authority to issue clarification </w:t>
            </w:r>
          </w:p>
        </w:tc>
        <w:tc>
          <w:tcPr>
            <w:tcW w:w="1972" w:type="dxa"/>
          </w:tcPr>
          <w:p w:rsidR="003436FE" w:rsidRPr="0040070F" w:rsidRDefault="00D9477B" w:rsidP="00923797">
            <w:pPr>
              <w:spacing w:before="120" w:after="120"/>
              <w:jc w:val="center"/>
              <w:rPr>
                <w:sz w:val="22"/>
                <w:szCs w:val="22"/>
              </w:rPr>
            </w:pPr>
            <w:r>
              <w:rPr>
                <w:sz w:val="22"/>
                <w:szCs w:val="22"/>
              </w:rPr>
              <w:t>12.03</w:t>
            </w:r>
            <w:r w:rsidR="00942607" w:rsidRPr="0040070F">
              <w:rPr>
                <w:sz w:val="22"/>
                <w:szCs w:val="22"/>
              </w:rPr>
              <w:t>.201</w:t>
            </w:r>
            <w:r>
              <w:rPr>
                <w:sz w:val="22"/>
                <w:szCs w:val="22"/>
              </w:rPr>
              <w:t>9</w:t>
            </w:r>
          </w:p>
        </w:tc>
        <w:tc>
          <w:tcPr>
            <w:tcW w:w="1572" w:type="dxa"/>
          </w:tcPr>
          <w:p w:rsidR="003436FE" w:rsidRPr="0040070F" w:rsidRDefault="003436FE">
            <w:pPr>
              <w:spacing w:before="120" w:after="120"/>
              <w:jc w:val="center"/>
              <w:rPr>
                <w:sz w:val="22"/>
                <w:szCs w:val="22"/>
              </w:rPr>
            </w:pPr>
            <w:r w:rsidRPr="0040070F">
              <w:rPr>
                <w:sz w:val="22"/>
                <w:szCs w:val="22"/>
              </w:rPr>
              <w:t>-</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Deadline for submitting tenders</w:t>
            </w:r>
          </w:p>
        </w:tc>
        <w:tc>
          <w:tcPr>
            <w:tcW w:w="1972" w:type="dxa"/>
          </w:tcPr>
          <w:p w:rsidR="003436FE" w:rsidRPr="0040070F" w:rsidRDefault="00D9477B" w:rsidP="00923797">
            <w:pPr>
              <w:spacing w:before="120" w:after="120"/>
              <w:jc w:val="center"/>
              <w:rPr>
                <w:sz w:val="22"/>
                <w:szCs w:val="22"/>
              </w:rPr>
            </w:pPr>
            <w:r>
              <w:rPr>
                <w:sz w:val="22"/>
                <w:szCs w:val="22"/>
              </w:rPr>
              <w:t>18.</w:t>
            </w:r>
            <w:r w:rsidR="004A1608" w:rsidRPr="0040070F">
              <w:rPr>
                <w:sz w:val="22"/>
                <w:szCs w:val="22"/>
              </w:rPr>
              <w:t>0</w:t>
            </w:r>
            <w:r>
              <w:rPr>
                <w:sz w:val="22"/>
                <w:szCs w:val="22"/>
              </w:rPr>
              <w:t>3</w:t>
            </w:r>
            <w:r w:rsidR="00942607" w:rsidRPr="0040070F">
              <w:rPr>
                <w:sz w:val="22"/>
                <w:szCs w:val="22"/>
              </w:rPr>
              <w:t>.201</w:t>
            </w:r>
            <w:r>
              <w:rPr>
                <w:sz w:val="22"/>
                <w:szCs w:val="22"/>
              </w:rPr>
              <w:t>9</w:t>
            </w:r>
          </w:p>
        </w:tc>
        <w:tc>
          <w:tcPr>
            <w:tcW w:w="1572" w:type="dxa"/>
          </w:tcPr>
          <w:p w:rsidR="003436FE" w:rsidRPr="0040070F" w:rsidRDefault="00876929" w:rsidP="00527CB9">
            <w:pPr>
              <w:spacing w:before="120" w:after="120"/>
              <w:jc w:val="center"/>
              <w:rPr>
                <w:sz w:val="22"/>
                <w:szCs w:val="22"/>
              </w:rPr>
            </w:pPr>
            <w:r w:rsidRPr="0040070F">
              <w:rPr>
                <w:sz w:val="22"/>
                <w:szCs w:val="22"/>
              </w:rPr>
              <w:t>1</w:t>
            </w:r>
            <w:r w:rsidR="003D6976">
              <w:rPr>
                <w:sz w:val="22"/>
                <w:szCs w:val="22"/>
              </w:rPr>
              <w:t>5</w:t>
            </w:r>
            <w:r w:rsidRPr="0040070F">
              <w:rPr>
                <w:sz w:val="22"/>
                <w:szCs w:val="22"/>
              </w:rPr>
              <w:t>:00</w:t>
            </w:r>
          </w:p>
        </w:tc>
      </w:tr>
      <w:tr w:rsidR="003436FE" w:rsidRPr="0040070F" w:rsidTr="00010683">
        <w:tc>
          <w:tcPr>
            <w:tcW w:w="4820" w:type="dxa"/>
            <w:shd w:val="pct10" w:color="auto" w:fill="FFFFFF"/>
          </w:tcPr>
          <w:p w:rsidR="003436FE" w:rsidRPr="0040070F" w:rsidRDefault="003436FE" w:rsidP="003436FE">
            <w:pPr>
              <w:spacing w:before="120" w:after="120"/>
              <w:rPr>
                <w:b/>
                <w:sz w:val="22"/>
                <w:szCs w:val="22"/>
              </w:rPr>
            </w:pPr>
            <w:r w:rsidRPr="0040070F">
              <w:rPr>
                <w:b/>
                <w:sz w:val="22"/>
                <w:szCs w:val="22"/>
              </w:rPr>
              <w:t>Interviews (if any)</w:t>
            </w:r>
          </w:p>
        </w:tc>
        <w:tc>
          <w:tcPr>
            <w:tcW w:w="1972" w:type="dxa"/>
          </w:tcPr>
          <w:p w:rsidR="003436FE" w:rsidRPr="0040070F" w:rsidRDefault="00527CB9" w:rsidP="003436FE">
            <w:pPr>
              <w:spacing w:before="120" w:after="120"/>
              <w:jc w:val="center"/>
              <w:rPr>
                <w:sz w:val="22"/>
                <w:szCs w:val="22"/>
              </w:rPr>
            </w:pPr>
            <w:r w:rsidRPr="0040070F">
              <w:rPr>
                <w:sz w:val="22"/>
                <w:szCs w:val="22"/>
              </w:rPr>
              <w:t>N/A</w:t>
            </w:r>
          </w:p>
        </w:tc>
        <w:tc>
          <w:tcPr>
            <w:tcW w:w="1572" w:type="dxa"/>
          </w:tcPr>
          <w:p w:rsidR="003436FE" w:rsidRPr="0040070F" w:rsidRDefault="003436FE" w:rsidP="003436FE">
            <w:pPr>
              <w:spacing w:before="120" w:after="120"/>
              <w:jc w:val="center"/>
              <w:rPr>
                <w:sz w:val="22"/>
                <w:szCs w:val="22"/>
              </w:rPr>
            </w:pPr>
            <w:r w:rsidRPr="0040070F">
              <w:rPr>
                <w:sz w:val="22"/>
                <w:szCs w:val="22"/>
              </w:rPr>
              <w:t>-</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Completion date for evaluating technical offers</w:t>
            </w:r>
          </w:p>
        </w:tc>
        <w:tc>
          <w:tcPr>
            <w:tcW w:w="1972" w:type="dxa"/>
          </w:tcPr>
          <w:p w:rsidR="003436FE" w:rsidRPr="0040070F" w:rsidRDefault="00D9477B" w:rsidP="00923797">
            <w:pPr>
              <w:spacing w:before="120" w:after="120"/>
              <w:jc w:val="center"/>
              <w:rPr>
                <w:sz w:val="22"/>
                <w:szCs w:val="22"/>
              </w:rPr>
            </w:pPr>
            <w:r>
              <w:rPr>
                <w:sz w:val="22"/>
                <w:szCs w:val="22"/>
              </w:rPr>
              <w:t>21.03</w:t>
            </w:r>
            <w:r w:rsidR="00942607" w:rsidRPr="0040070F">
              <w:rPr>
                <w:sz w:val="22"/>
                <w:szCs w:val="22"/>
              </w:rPr>
              <w:t>.</w:t>
            </w:r>
            <w:r>
              <w:rPr>
                <w:sz w:val="22"/>
                <w:szCs w:val="22"/>
              </w:rPr>
              <w:t>2019</w:t>
            </w:r>
            <w:r w:rsidR="003436FE" w:rsidRPr="0040070F">
              <w:rPr>
                <w:sz w:val="22"/>
                <w:szCs w:val="22"/>
              </w:rPr>
              <w:t xml:space="preserve"> </w:t>
            </w:r>
            <w:r w:rsidR="003436FE" w:rsidRPr="0040070F">
              <w:rPr>
                <w:sz w:val="22"/>
                <w:szCs w:val="22"/>
                <w:vertAlign w:val="superscript"/>
              </w:rPr>
              <w:sym w:font="Monotype Sorts" w:char="F027"/>
            </w:r>
          </w:p>
        </w:tc>
        <w:tc>
          <w:tcPr>
            <w:tcW w:w="1572" w:type="dxa"/>
          </w:tcPr>
          <w:p w:rsidR="003436FE" w:rsidRPr="0040070F" w:rsidRDefault="003436FE">
            <w:pPr>
              <w:spacing w:before="120" w:after="120"/>
              <w:jc w:val="center"/>
              <w:rPr>
                <w:sz w:val="22"/>
                <w:szCs w:val="22"/>
              </w:rPr>
            </w:pPr>
            <w:r w:rsidRPr="0040070F">
              <w:rPr>
                <w:sz w:val="22"/>
                <w:szCs w:val="22"/>
              </w:rPr>
              <w:t>-</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 xml:space="preserve">Notification of award </w:t>
            </w:r>
          </w:p>
        </w:tc>
        <w:tc>
          <w:tcPr>
            <w:tcW w:w="1972" w:type="dxa"/>
          </w:tcPr>
          <w:p w:rsidR="003436FE" w:rsidRPr="0040070F" w:rsidRDefault="00D9477B" w:rsidP="00923797">
            <w:pPr>
              <w:spacing w:before="120" w:after="120"/>
              <w:jc w:val="center"/>
              <w:rPr>
                <w:sz w:val="22"/>
                <w:szCs w:val="22"/>
              </w:rPr>
            </w:pPr>
            <w:r>
              <w:rPr>
                <w:sz w:val="22"/>
                <w:szCs w:val="22"/>
              </w:rPr>
              <w:t>22.03</w:t>
            </w:r>
            <w:r w:rsidR="00942607" w:rsidRPr="0040070F">
              <w:rPr>
                <w:sz w:val="22"/>
                <w:szCs w:val="22"/>
              </w:rPr>
              <w:t>.</w:t>
            </w:r>
            <w:r>
              <w:rPr>
                <w:sz w:val="22"/>
                <w:szCs w:val="22"/>
              </w:rPr>
              <w:t>2019</w:t>
            </w:r>
            <w:r w:rsidR="003436FE" w:rsidRPr="0040070F">
              <w:rPr>
                <w:sz w:val="22"/>
                <w:szCs w:val="22"/>
              </w:rPr>
              <w:t xml:space="preserve"> </w:t>
            </w:r>
            <w:r w:rsidR="003436FE" w:rsidRPr="0040070F">
              <w:rPr>
                <w:sz w:val="22"/>
                <w:szCs w:val="22"/>
                <w:vertAlign w:val="superscript"/>
              </w:rPr>
              <w:sym w:font="Monotype Sorts" w:char="F027"/>
            </w:r>
          </w:p>
        </w:tc>
        <w:tc>
          <w:tcPr>
            <w:tcW w:w="1572" w:type="dxa"/>
          </w:tcPr>
          <w:p w:rsidR="003436FE" w:rsidRPr="0040070F" w:rsidRDefault="003436FE">
            <w:pPr>
              <w:spacing w:before="120" w:after="120"/>
              <w:jc w:val="center"/>
              <w:rPr>
                <w:sz w:val="22"/>
                <w:szCs w:val="22"/>
              </w:rPr>
            </w:pPr>
            <w:r w:rsidRPr="0040070F">
              <w:rPr>
                <w:sz w:val="22"/>
                <w:szCs w:val="22"/>
              </w:rPr>
              <w:t>-</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Contract signature</w:t>
            </w:r>
          </w:p>
        </w:tc>
        <w:tc>
          <w:tcPr>
            <w:tcW w:w="1972" w:type="dxa"/>
          </w:tcPr>
          <w:p w:rsidR="003436FE" w:rsidRPr="0040070F" w:rsidRDefault="00D9477B" w:rsidP="0051218E">
            <w:pPr>
              <w:spacing w:before="120" w:after="120"/>
              <w:jc w:val="center"/>
              <w:rPr>
                <w:sz w:val="22"/>
                <w:szCs w:val="22"/>
              </w:rPr>
            </w:pPr>
            <w:r>
              <w:rPr>
                <w:sz w:val="22"/>
                <w:szCs w:val="22"/>
              </w:rPr>
              <w:t>27.03</w:t>
            </w:r>
            <w:r w:rsidR="00942607" w:rsidRPr="0040070F">
              <w:rPr>
                <w:sz w:val="22"/>
                <w:szCs w:val="22"/>
              </w:rPr>
              <w:t>.</w:t>
            </w:r>
            <w:r>
              <w:rPr>
                <w:sz w:val="22"/>
                <w:szCs w:val="22"/>
              </w:rPr>
              <w:t>2019</w:t>
            </w:r>
            <w:r w:rsidR="003436FE" w:rsidRPr="0040070F">
              <w:rPr>
                <w:sz w:val="22"/>
                <w:szCs w:val="22"/>
              </w:rPr>
              <w:t xml:space="preserve"> </w:t>
            </w:r>
            <w:r w:rsidR="003436FE" w:rsidRPr="0040070F">
              <w:rPr>
                <w:sz w:val="22"/>
                <w:szCs w:val="22"/>
                <w:vertAlign w:val="superscript"/>
              </w:rPr>
              <w:sym w:font="Monotype Sorts" w:char="F027"/>
            </w:r>
          </w:p>
        </w:tc>
        <w:tc>
          <w:tcPr>
            <w:tcW w:w="1572" w:type="dxa"/>
          </w:tcPr>
          <w:p w:rsidR="003436FE" w:rsidRPr="0040070F" w:rsidRDefault="003436FE">
            <w:pPr>
              <w:spacing w:before="120" w:after="120"/>
              <w:jc w:val="center"/>
              <w:rPr>
                <w:sz w:val="22"/>
                <w:szCs w:val="22"/>
              </w:rPr>
            </w:pPr>
            <w:r w:rsidRPr="0040070F">
              <w:rPr>
                <w:sz w:val="22"/>
                <w:szCs w:val="22"/>
              </w:rPr>
              <w:t>-</w:t>
            </w:r>
          </w:p>
        </w:tc>
      </w:tr>
      <w:tr w:rsidR="003436FE" w:rsidRPr="0040070F" w:rsidTr="00010683">
        <w:tc>
          <w:tcPr>
            <w:tcW w:w="4820" w:type="dxa"/>
            <w:shd w:val="pct10" w:color="auto" w:fill="FFFFFF"/>
          </w:tcPr>
          <w:p w:rsidR="003436FE" w:rsidRPr="0040070F" w:rsidRDefault="003436FE">
            <w:pPr>
              <w:spacing w:before="120" w:after="120"/>
              <w:rPr>
                <w:b/>
                <w:sz w:val="22"/>
                <w:szCs w:val="22"/>
              </w:rPr>
            </w:pPr>
            <w:r w:rsidRPr="0040070F">
              <w:rPr>
                <w:b/>
                <w:sz w:val="22"/>
                <w:szCs w:val="22"/>
              </w:rPr>
              <w:t>Start date</w:t>
            </w:r>
          </w:p>
        </w:tc>
        <w:tc>
          <w:tcPr>
            <w:tcW w:w="1972" w:type="dxa"/>
          </w:tcPr>
          <w:p w:rsidR="003436FE" w:rsidRPr="0040070F" w:rsidRDefault="00D9477B" w:rsidP="0051218E">
            <w:pPr>
              <w:spacing w:before="120" w:after="120"/>
              <w:jc w:val="center"/>
              <w:rPr>
                <w:sz w:val="22"/>
                <w:szCs w:val="22"/>
              </w:rPr>
            </w:pPr>
            <w:r>
              <w:rPr>
                <w:sz w:val="22"/>
                <w:szCs w:val="22"/>
              </w:rPr>
              <w:t>27.03</w:t>
            </w:r>
            <w:r w:rsidR="00942607" w:rsidRPr="0040070F">
              <w:rPr>
                <w:sz w:val="22"/>
                <w:szCs w:val="22"/>
              </w:rPr>
              <w:t>.</w:t>
            </w:r>
            <w:r>
              <w:rPr>
                <w:sz w:val="22"/>
                <w:szCs w:val="22"/>
              </w:rPr>
              <w:t>2019</w:t>
            </w:r>
            <w:r w:rsidR="003436FE" w:rsidRPr="0040070F">
              <w:rPr>
                <w:sz w:val="22"/>
                <w:szCs w:val="22"/>
              </w:rPr>
              <w:t xml:space="preserve"> </w:t>
            </w:r>
            <w:r w:rsidR="003436FE" w:rsidRPr="0040070F">
              <w:rPr>
                <w:sz w:val="22"/>
                <w:szCs w:val="22"/>
                <w:vertAlign w:val="superscript"/>
              </w:rPr>
              <w:sym w:font="Monotype Sorts" w:char="F027"/>
            </w:r>
          </w:p>
        </w:tc>
        <w:tc>
          <w:tcPr>
            <w:tcW w:w="1572" w:type="dxa"/>
          </w:tcPr>
          <w:p w:rsidR="003436FE" w:rsidRPr="0040070F" w:rsidRDefault="003436FE">
            <w:pPr>
              <w:spacing w:before="120" w:after="120"/>
              <w:jc w:val="center"/>
              <w:rPr>
                <w:sz w:val="22"/>
                <w:szCs w:val="22"/>
              </w:rPr>
            </w:pPr>
            <w:r w:rsidRPr="0040070F">
              <w:rPr>
                <w:sz w:val="22"/>
                <w:szCs w:val="22"/>
              </w:rPr>
              <w:t>-</w:t>
            </w:r>
          </w:p>
        </w:tc>
      </w:tr>
    </w:tbl>
    <w:p w:rsidR="003436FE" w:rsidRPr="0040070F" w:rsidRDefault="003436FE" w:rsidP="003436FE">
      <w:pPr>
        <w:spacing w:before="120" w:after="240"/>
        <w:rPr>
          <w:b/>
          <w:sz w:val="22"/>
          <w:szCs w:val="22"/>
        </w:rPr>
      </w:pPr>
      <w:r w:rsidRPr="0040070F">
        <w:rPr>
          <w:b/>
          <w:sz w:val="22"/>
          <w:szCs w:val="22"/>
        </w:rPr>
        <w:t>* All times are in the time zone of the country of the Contracting Authority</w:t>
      </w:r>
      <w:r w:rsidRPr="0040070F">
        <w:rPr>
          <w:b/>
          <w:sz w:val="22"/>
          <w:szCs w:val="22"/>
        </w:rPr>
        <w:br/>
      </w:r>
      <w:r w:rsidRPr="0040070F">
        <w:rPr>
          <w:sz w:val="22"/>
          <w:szCs w:val="22"/>
          <w:vertAlign w:val="superscript"/>
        </w:rPr>
        <w:sym w:font="Monotype Sorts" w:char="F027"/>
      </w:r>
      <w:r w:rsidRPr="0040070F">
        <w:rPr>
          <w:sz w:val="22"/>
          <w:szCs w:val="22"/>
          <w:vertAlign w:val="superscript"/>
        </w:rPr>
        <w:t xml:space="preserve"> </w:t>
      </w:r>
      <w:r w:rsidRPr="0040070F">
        <w:rPr>
          <w:b/>
          <w:sz w:val="22"/>
          <w:szCs w:val="22"/>
        </w:rPr>
        <w:t>Provisional date</w:t>
      </w:r>
    </w:p>
    <w:p w:rsidR="003436FE" w:rsidRPr="0040070F" w:rsidRDefault="003436FE" w:rsidP="006052F7">
      <w:pPr>
        <w:keepNext/>
        <w:numPr>
          <w:ilvl w:val="0"/>
          <w:numId w:val="4"/>
        </w:numPr>
        <w:spacing w:before="120" w:after="120"/>
        <w:jc w:val="both"/>
        <w:rPr>
          <w:b/>
          <w:sz w:val="22"/>
          <w:szCs w:val="22"/>
        </w:rPr>
      </w:pPr>
      <w:bookmarkStart w:id="1" w:name="_Ref499615030"/>
      <w:r w:rsidRPr="0040070F">
        <w:rPr>
          <w:b/>
          <w:sz w:val="22"/>
          <w:szCs w:val="22"/>
        </w:rPr>
        <w:t>Participation</w:t>
      </w:r>
      <w:r w:rsidR="007E285C" w:rsidRPr="0040070F">
        <w:rPr>
          <w:b/>
          <w:sz w:val="22"/>
          <w:szCs w:val="22"/>
        </w:rPr>
        <w:t>,</w:t>
      </w:r>
      <w:r w:rsidR="00E33957" w:rsidRPr="0040070F">
        <w:rPr>
          <w:b/>
          <w:sz w:val="22"/>
          <w:szCs w:val="22"/>
        </w:rPr>
        <w:t xml:space="preserve"> </w:t>
      </w:r>
      <w:r w:rsidR="000544E6" w:rsidRPr="0040070F">
        <w:rPr>
          <w:b/>
          <w:sz w:val="22"/>
          <w:szCs w:val="22"/>
        </w:rPr>
        <w:t xml:space="preserve">experts and </w:t>
      </w:r>
      <w:r w:rsidRPr="0040070F">
        <w:rPr>
          <w:b/>
          <w:sz w:val="22"/>
          <w:szCs w:val="22"/>
        </w:rPr>
        <w:t>subcontracting</w:t>
      </w:r>
      <w:bookmarkEnd w:id="1"/>
    </w:p>
    <w:p w:rsidR="003436FE" w:rsidRPr="0040070F" w:rsidRDefault="003436FE" w:rsidP="006052F7">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40070F">
        <w:rPr>
          <w:sz w:val="22"/>
          <w:szCs w:val="22"/>
        </w:rPr>
        <w:t xml:space="preserve">Participation in this tender procedure is open only to the </w:t>
      </w:r>
      <w:r w:rsidR="00EF67ED" w:rsidRPr="0040070F">
        <w:rPr>
          <w:sz w:val="22"/>
          <w:szCs w:val="22"/>
        </w:rPr>
        <w:t>invited tenderers.</w:t>
      </w:r>
      <w:r w:rsidR="000955FE" w:rsidRPr="0040070F">
        <w:rPr>
          <w:sz w:val="22"/>
          <w:szCs w:val="22"/>
        </w:rPr>
        <w:t xml:space="preserve"> For the eligibility, please see point 10 of the contract notice. </w:t>
      </w:r>
    </w:p>
    <w:p w:rsidR="003436FE" w:rsidRPr="0040070F" w:rsidRDefault="003436FE" w:rsidP="006052F7">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40070F">
        <w:rPr>
          <w:sz w:val="22"/>
          <w:szCs w:val="22"/>
        </w:rPr>
        <w:t xml:space="preserve">Natural or legal persons are not entitled to participate in this tender procedure or be awarded a contract if they are in any of the conditions mentioned in Section 2.3.3 of the </w:t>
      </w:r>
      <w:r w:rsidRPr="0040070F">
        <w:rPr>
          <w:b/>
          <w:sz w:val="22"/>
          <w:szCs w:val="22"/>
        </w:rPr>
        <w:t>Practical Guide</w:t>
      </w:r>
      <w:r w:rsidRPr="0040070F">
        <w:rPr>
          <w:sz w:val="22"/>
          <w:szCs w:val="22"/>
        </w:rPr>
        <w:t xml:space="preserve">. Should they do so, they may be excluded from tender procedures and contracts in accordance with Section 2.3.4 of the </w:t>
      </w:r>
      <w:r w:rsidRPr="0040070F">
        <w:rPr>
          <w:b/>
          <w:sz w:val="22"/>
          <w:szCs w:val="22"/>
        </w:rPr>
        <w:t>Practical Guide</w:t>
      </w:r>
      <w:r w:rsidRPr="0040070F">
        <w:rPr>
          <w:sz w:val="22"/>
          <w:szCs w:val="22"/>
        </w:rPr>
        <w:t>.</w:t>
      </w:r>
    </w:p>
    <w:p w:rsidR="003436FE" w:rsidRPr="0040070F" w:rsidRDefault="003436FE" w:rsidP="006052F7">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40070F">
        <w:rPr>
          <w:sz w:val="22"/>
          <w:szCs w:val="22"/>
        </w:rPr>
        <w:t>Tenderers guilty of making false declarations may also be subject to financial penalties representing 2</w:t>
      </w:r>
      <w:r w:rsidRPr="0040070F">
        <w:rPr>
          <w:w w:val="50"/>
          <w:sz w:val="22"/>
          <w:szCs w:val="22"/>
        </w:rPr>
        <w:t> </w:t>
      </w:r>
      <w:r w:rsidRPr="0040070F">
        <w:rPr>
          <w:sz w:val="22"/>
          <w:szCs w:val="22"/>
        </w:rPr>
        <w:t>% to 10</w:t>
      </w:r>
      <w:r w:rsidRPr="0040070F">
        <w:rPr>
          <w:w w:val="50"/>
          <w:sz w:val="22"/>
          <w:szCs w:val="22"/>
        </w:rPr>
        <w:t> </w:t>
      </w:r>
      <w:r w:rsidRPr="0040070F">
        <w:rPr>
          <w:sz w:val="22"/>
          <w:szCs w:val="22"/>
        </w:rPr>
        <w:t>% of the total value of the contract being awarded. This rate may be increased to 4</w:t>
      </w:r>
      <w:r w:rsidRPr="0040070F">
        <w:rPr>
          <w:w w:val="50"/>
          <w:sz w:val="22"/>
          <w:szCs w:val="22"/>
        </w:rPr>
        <w:t> </w:t>
      </w:r>
      <w:r w:rsidRPr="0040070F">
        <w:rPr>
          <w:sz w:val="22"/>
          <w:szCs w:val="22"/>
        </w:rPr>
        <w:t>% to 20</w:t>
      </w:r>
      <w:r w:rsidRPr="0040070F">
        <w:rPr>
          <w:w w:val="50"/>
          <w:sz w:val="22"/>
          <w:szCs w:val="22"/>
        </w:rPr>
        <w:t> </w:t>
      </w:r>
      <w:r w:rsidRPr="0040070F">
        <w:rPr>
          <w:sz w:val="22"/>
          <w:szCs w:val="22"/>
        </w:rPr>
        <w:t xml:space="preserve">% in the event of a repeat offence within five years of the first infringement. </w:t>
      </w:r>
    </w:p>
    <w:p w:rsidR="003436FE" w:rsidRPr="0040070F" w:rsidRDefault="00180127" w:rsidP="006052F7">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40070F">
        <w:rPr>
          <w:sz w:val="22"/>
          <w:szCs w:val="22"/>
        </w:rPr>
        <w:lastRenderedPageBreak/>
        <w:t>The tenderer must intend to provide the majority of the services itself but if</w:t>
      </w:r>
      <w:r w:rsidR="003436FE" w:rsidRPr="0040070F">
        <w:rPr>
          <w:sz w:val="22"/>
          <w:szCs w:val="22"/>
        </w:rPr>
        <w:t xml:space="preserve"> the tenderer intends to subcontract one or more parts of the contracted services, this must be clearly stated in the </w:t>
      </w:r>
      <w:r w:rsidR="000913E8" w:rsidRPr="0040070F">
        <w:rPr>
          <w:sz w:val="22"/>
          <w:szCs w:val="22"/>
        </w:rPr>
        <w:t xml:space="preserve">Organisation and Methodology and the </w:t>
      </w:r>
      <w:r w:rsidR="003436FE" w:rsidRPr="0040070F">
        <w:rPr>
          <w:sz w:val="22"/>
          <w:szCs w:val="22"/>
        </w:rPr>
        <w:t>Tender submission form.</w:t>
      </w:r>
      <w:r w:rsidRPr="0040070F">
        <w:rPr>
          <w:sz w:val="22"/>
          <w:szCs w:val="22"/>
        </w:rPr>
        <w:t xml:space="preserve"> </w:t>
      </w:r>
    </w:p>
    <w:p w:rsidR="003436FE" w:rsidRPr="0040070F" w:rsidRDefault="003436FE" w:rsidP="006B1122">
      <w:pPr>
        <w:pStyle w:val="BodyText"/>
        <w:numPr>
          <w:ilvl w:val="0"/>
          <w:numId w:val="1"/>
        </w:numPr>
        <w:tabs>
          <w:tab w:val="clear" w:pos="570"/>
          <w:tab w:val="left" w:pos="0"/>
          <w:tab w:val="num" w:pos="854"/>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854"/>
        <w:jc w:val="both"/>
        <w:rPr>
          <w:sz w:val="22"/>
          <w:szCs w:val="22"/>
        </w:rPr>
      </w:pPr>
      <w:r w:rsidRPr="0040070F">
        <w:rPr>
          <w:sz w:val="22"/>
          <w:szCs w:val="22"/>
        </w:rPr>
        <w:t>All subcontractors must be eligible for the contract.</w:t>
      </w:r>
      <w:r w:rsidR="00BF2BA4" w:rsidRPr="0040070F">
        <w:rPr>
          <w:sz w:val="22"/>
          <w:szCs w:val="22"/>
        </w:rPr>
        <w:t xml:space="preserve"> </w:t>
      </w:r>
    </w:p>
    <w:p w:rsidR="003436FE" w:rsidRPr="0040070F" w:rsidRDefault="003436FE" w:rsidP="006B1122">
      <w:pPr>
        <w:pStyle w:val="BodyText"/>
        <w:numPr>
          <w:ilvl w:val="0"/>
          <w:numId w:val="1"/>
        </w:numPr>
        <w:tabs>
          <w:tab w:val="clear" w:pos="570"/>
          <w:tab w:val="left" w:pos="0"/>
          <w:tab w:val="num" w:pos="854"/>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854"/>
        <w:jc w:val="both"/>
        <w:rPr>
          <w:sz w:val="22"/>
          <w:szCs w:val="22"/>
        </w:rPr>
      </w:pPr>
      <w:r w:rsidRPr="0040070F">
        <w:rPr>
          <w:sz w:val="22"/>
          <w:szCs w:val="22"/>
        </w:rPr>
        <w:t>Subcontractors cannot be in any of the exclusion situations listed in Section 2.3.3 of the Practical Guide.</w:t>
      </w:r>
      <w:r w:rsidR="00BF2BA4" w:rsidRPr="0040070F">
        <w:rPr>
          <w:sz w:val="22"/>
          <w:szCs w:val="22"/>
        </w:rPr>
        <w:t xml:space="preserve"> </w:t>
      </w:r>
    </w:p>
    <w:p w:rsidR="003436FE" w:rsidRPr="0040070F" w:rsidRDefault="003436FE" w:rsidP="006052F7">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40070F">
        <w:rPr>
          <w:sz w:val="22"/>
          <w:szCs w:val="22"/>
        </w:rPr>
        <w:t>If the offer includes subcontracting, it is recommended that the contractual arrangements between the tenderer and its subcontractors include mediation, according to national and international practices, as a method of dispute resolution.</w:t>
      </w:r>
    </w:p>
    <w:p w:rsidR="003436FE" w:rsidRPr="0040070F" w:rsidRDefault="003436FE" w:rsidP="006052F7">
      <w:pPr>
        <w:widowControl w:val="0"/>
        <w:numPr>
          <w:ilvl w:val="0"/>
          <w:numId w:val="4"/>
        </w:numPr>
        <w:spacing w:before="120" w:after="120"/>
        <w:jc w:val="both"/>
        <w:rPr>
          <w:b/>
          <w:sz w:val="22"/>
          <w:szCs w:val="22"/>
        </w:rPr>
      </w:pPr>
      <w:r w:rsidRPr="0040070F">
        <w:rPr>
          <w:b/>
          <w:sz w:val="22"/>
          <w:szCs w:val="22"/>
        </w:rPr>
        <w:t>Content of tenders</w:t>
      </w:r>
    </w:p>
    <w:p w:rsidR="003436FE" w:rsidRPr="0040070F" w:rsidRDefault="003436FE" w:rsidP="003436FE">
      <w:pPr>
        <w:pStyle w:val="Heading2"/>
        <w:keepNext w:val="0"/>
        <w:widowControl w:val="0"/>
        <w:tabs>
          <w:tab w:val="clear" w:pos="426"/>
        </w:tabs>
        <w:spacing w:before="120" w:after="120"/>
        <w:jc w:val="both"/>
        <w:rPr>
          <w:sz w:val="22"/>
          <w:szCs w:val="22"/>
          <w:lang w:val="en-GB"/>
        </w:rPr>
      </w:pPr>
      <w:r w:rsidRPr="0040070F">
        <w:rPr>
          <w:sz w:val="22"/>
          <w:szCs w:val="22"/>
          <w:lang w:val="en-GB"/>
        </w:rPr>
        <w:t>Offers, all correspondence and documents related to the tender exchanged by the tenderer and the Contracting Authority must be written in English.</w:t>
      </w:r>
    </w:p>
    <w:p w:rsidR="003436FE" w:rsidRPr="0040070F" w:rsidRDefault="003436FE" w:rsidP="003436FE">
      <w:pPr>
        <w:pStyle w:val="Heading2"/>
        <w:keepNext w:val="0"/>
        <w:widowControl w:val="0"/>
        <w:tabs>
          <w:tab w:val="clear" w:pos="426"/>
        </w:tabs>
        <w:spacing w:before="120" w:after="120"/>
        <w:jc w:val="both"/>
        <w:rPr>
          <w:sz w:val="22"/>
          <w:szCs w:val="22"/>
          <w:lang w:val="en-GB"/>
        </w:rPr>
      </w:pPr>
      <w:r w:rsidRPr="0040070F">
        <w:rPr>
          <w:sz w:val="22"/>
          <w:szCs w:val="22"/>
          <w:lang w:val="en-GB"/>
        </w:rPr>
        <w:t xml:space="preserve">Supporting documents and printed literature furnished by the tenderer may be in another language, provided they are accompanied by a translation into the language of the procedure. For the purposes of interpreting the tender, the language of the procedure has precedence. </w:t>
      </w:r>
    </w:p>
    <w:p w:rsidR="003436FE" w:rsidRDefault="003436FE" w:rsidP="003436FE">
      <w:pPr>
        <w:widowControl w:val="0"/>
        <w:spacing w:before="120" w:after="120"/>
        <w:jc w:val="both"/>
        <w:rPr>
          <w:sz w:val="22"/>
          <w:szCs w:val="22"/>
        </w:rPr>
      </w:pPr>
      <w:r w:rsidRPr="0040070F">
        <w:rPr>
          <w:sz w:val="22"/>
          <w:szCs w:val="22"/>
        </w:rPr>
        <w:t xml:space="preserve">The tender must comprise of a Technical offer and a Financial offer, which must be submitted in separate envelopes (see clause </w:t>
      </w:r>
      <w:r w:rsidR="001F0408">
        <w:fldChar w:fldCharType="begin"/>
      </w:r>
      <w:r w:rsidR="001F0408">
        <w:instrText xml:space="preserve"> REF _Ref499982672 \r \h  \* MERGEFORMAT </w:instrText>
      </w:r>
      <w:r w:rsidR="001F0408">
        <w:fldChar w:fldCharType="separate"/>
      </w:r>
      <w:r w:rsidR="0051218E" w:rsidRPr="0040070F">
        <w:t>8</w:t>
      </w:r>
      <w:r w:rsidR="001F0408">
        <w:fldChar w:fldCharType="end"/>
      </w:r>
      <w:r w:rsidRPr="0040070F">
        <w:rPr>
          <w:sz w:val="22"/>
          <w:szCs w:val="22"/>
        </w:rPr>
        <w:t xml:space="preserve">). Each Technical offer and Financial offer must contain one original, clearly marked </w:t>
      </w:r>
      <w:r w:rsidRPr="0040070F">
        <w:rPr>
          <w:b/>
          <w:sz w:val="22"/>
          <w:szCs w:val="22"/>
        </w:rPr>
        <w:t>‘Original’</w:t>
      </w:r>
      <w:r w:rsidRPr="0040070F">
        <w:rPr>
          <w:sz w:val="22"/>
          <w:szCs w:val="22"/>
        </w:rPr>
        <w:t xml:space="preserve">. Failure to fulfil the requirements in clauses 4.1, 4.2 and </w:t>
      </w:r>
      <w:r w:rsidR="001F0408">
        <w:fldChar w:fldCharType="begin"/>
      </w:r>
      <w:r w:rsidR="001F0408">
        <w:instrText xml:space="preserve"> REF _Ref499982672 \r \h  \* MERGEFORMAT </w:instrText>
      </w:r>
      <w:r w:rsidR="001F0408">
        <w:fldChar w:fldCharType="separate"/>
      </w:r>
      <w:r w:rsidR="0051218E" w:rsidRPr="0040070F">
        <w:t>8</w:t>
      </w:r>
      <w:r w:rsidR="001F0408">
        <w:fldChar w:fldCharType="end"/>
      </w:r>
      <w:r w:rsidRPr="0040070F">
        <w:rPr>
          <w:sz w:val="22"/>
          <w:szCs w:val="22"/>
        </w:rPr>
        <w:t xml:space="preserve"> will constitute a formal error and may result in rejection of the tender.</w:t>
      </w:r>
    </w:p>
    <w:p w:rsidR="0040070F" w:rsidRPr="0040070F" w:rsidRDefault="0040070F" w:rsidP="003436FE">
      <w:pPr>
        <w:widowControl w:val="0"/>
        <w:spacing w:before="120" w:after="120"/>
        <w:jc w:val="both"/>
        <w:rPr>
          <w:sz w:val="22"/>
          <w:szCs w:val="22"/>
        </w:rPr>
      </w:pPr>
      <w:r>
        <w:rPr>
          <w:sz w:val="22"/>
          <w:szCs w:val="22"/>
        </w:rPr>
        <w:t>CD or USB stick containing the electronic version of Technical offer and all tendering documentation except Financ</w:t>
      </w:r>
      <w:bookmarkStart w:id="2" w:name="_GoBack"/>
      <w:bookmarkEnd w:id="2"/>
      <w:r>
        <w:rPr>
          <w:sz w:val="22"/>
          <w:szCs w:val="22"/>
        </w:rPr>
        <w:t>ial offer.</w:t>
      </w:r>
    </w:p>
    <w:p w:rsidR="003436FE" w:rsidRPr="0040070F" w:rsidRDefault="003436FE" w:rsidP="00010683">
      <w:pPr>
        <w:widowControl w:val="0"/>
        <w:spacing w:before="120" w:after="120"/>
        <w:ind w:left="567" w:hanging="567"/>
        <w:jc w:val="both"/>
        <w:rPr>
          <w:b/>
          <w:sz w:val="22"/>
          <w:szCs w:val="22"/>
        </w:rPr>
      </w:pPr>
      <w:r w:rsidRPr="0040070F">
        <w:rPr>
          <w:b/>
          <w:sz w:val="22"/>
          <w:szCs w:val="22"/>
        </w:rPr>
        <w:t>4.1</w:t>
      </w:r>
      <w:r w:rsidR="00010683" w:rsidRPr="0040070F">
        <w:rPr>
          <w:b/>
          <w:sz w:val="22"/>
          <w:szCs w:val="22"/>
        </w:rPr>
        <w:t>.</w:t>
      </w:r>
      <w:r w:rsidRPr="0040070F">
        <w:rPr>
          <w:b/>
          <w:sz w:val="22"/>
          <w:szCs w:val="22"/>
        </w:rPr>
        <w:tab/>
        <w:t>Technical offer</w:t>
      </w:r>
    </w:p>
    <w:p w:rsidR="003436FE" w:rsidRPr="0040070F" w:rsidRDefault="003436FE" w:rsidP="003436FE">
      <w:pPr>
        <w:widowControl w:val="0"/>
        <w:spacing w:before="120" w:after="120"/>
        <w:jc w:val="both"/>
        <w:rPr>
          <w:sz w:val="22"/>
          <w:szCs w:val="22"/>
        </w:rPr>
      </w:pPr>
      <w:r w:rsidRPr="0040070F">
        <w:rPr>
          <w:sz w:val="22"/>
          <w:szCs w:val="22"/>
        </w:rPr>
        <w:t>The Technical offer must include the following documents:</w:t>
      </w:r>
    </w:p>
    <w:p w:rsidR="003436FE" w:rsidRPr="0040070F" w:rsidRDefault="003436FE" w:rsidP="006052F7">
      <w:pPr>
        <w:widowControl w:val="0"/>
        <w:numPr>
          <w:ilvl w:val="0"/>
          <w:numId w:val="2"/>
        </w:numPr>
        <w:tabs>
          <w:tab w:val="num" w:pos="567"/>
        </w:tabs>
        <w:spacing w:before="120" w:after="120"/>
        <w:ind w:left="567" w:hanging="567"/>
        <w:jc w:val="both"/>
        <w:rPr>
          <w:sz w:val="22"/>
          <w:szCs w:val="22"/>
        </w:rPr>
      </w:pPr>
      <w:r w:rsidRPr="0040070F">
        <w:rPr>
          <w:b/>
          <w:sz w:val="22"/>
          <w:szCs w:val="22"/>
        </w:rPr>
        <w:t>Tender submission form</w:t>
      </w:r>
      <w:r w:rsidRPr="0040070F">
        <w:rPr>
          <w:sz w:val="22"/>
          <w:szCs w:val="22"/>
        </w:rPr>
        <w:t xml:space="preserve"> (see Part D of this tender dossier) including:</w:t>
      </w:r>
    </w:p>
    <w:p w:rsidR="003436FE" w:rsidRPr="0040070F" w:rsidRDefault="003436FE" w:rsidP="006052F7">
      <w:pPr>
        <w:numPr>
          <w:ilvl w:val="0"/>
          <w:numId w:val="5"/>
        </w:numPr>
        <w:tabs>
          <w:tab w:val="clear" w:pos="360"/>
          <w:tab w:val="num" w:pos="927"/>
        </w:tabs>
        <w:spacing w:before="120" w:after="120"/>
        <w:ind w:left="927"/>
        <w:jc w:val="both"/>
        <w:rPr>
          <w:sz w:val="22"/>
          <w:szCs w:val="22"/>
        </w:rPr>
      </w:pPr>
      <w:r w:rsidRPr="0040070F">
        <w:rPr>
          <w:sz w:val="22"/>
          <w:szCs w:val="22"/>
        </w:rPr>
        <w:t xml:space="preserve">A signed </w:t>
      </w:r>
      <w:r w:rsidRPr="0040070F">
        <w:rPr>
          <w:b/>
          <w:sz w:val="22"/>
          <w:szCs w:val="22"/>
        </w:rPr>
        <w:t>declaration</w:t>
      </w:r>
      <w:r w:rsidRPr="0040070F">
        <w:rPr>
          <w:sz w:val="22"/>
          <w:szCs w:val="22"/>
        </w:rPr>
        <w:t xml:space="preserve"> from each legal entity identified in the tender submission form, using the format attached to the tender submission form.</w:t>
      </w:r>
    </w:p>
    <w:p w:rsidR="003436FE" w:rsidRPr="0040070F" w:rsidRDefault="00D97FA6" w:rsidP="006052F7">
      <w:pPr>
        <w:numPr>
          <w:ilvl w:val="0"/>
          <w:numId w:val="5"/>
        </w:numPr>
        <w:tabs>
          <w:tab w:val="clear" w:pos="360"/>
          <w:tab w:val="num" w:pos="927"/>
        </w:tabs>
        <w:spacing w:before="120" w:after="120"/>
        <w:ind w:left="927"/>
        <w:jc w:val="both"/>
        <w:rPr>
          <w:sz w:val="22"/>
          <w:szCs w:val="22"/>
        </w:rPr>
      </w:pPr>
      <w:r>
        <w:rPr>
          <w:b/>
          <w:sz w:val="22"/>
          <w:szCs w:val="22"/>
        </w:rPr>
        <w:t>Financial i</w:t>
      </w:r>
      <w:r w:rsidR="003436FE" w:rsidRPr="0040070F">
        <w:rPr>
          <w:b/>
          <w:sz w:val="22"/>
          <w:szCs w:val="22"/>
        </w:rPr>
        <w:t xml:space="preserve">dentification </w:t>
      </w:r>
      <w:r w:rsidRPr="00D97FA6">
        <w:rPr>
          <w:sz w:val="22"/>
          <w:szCs w:val="22"/>
        </w:rPr>
        <w:t>document</w:t>
      </w:r>
      <w:r>
        <w:rPr>
          <w:b/>
          <w:sz w:val="22"/>
          <w:szCs w:val="22"/>
        </w:rPr>
        <w:t xml:space="preserve"> </w:t>
      </w:r>
      <w:r w:rsidRPr="00D97FA6">
        <w:rPr>
          <w:sz w:val="22"/>
          <w:szCs w:val="22"/>
        </w:rPr>
        <w:t xml:space="preserve">in free form, </w:t>
      </w:r>
      <w:r w:rsidR="003436FE" w:rsidRPr="00D97FA6">
        <w:rPr>
          <w:sz w:val="22"/>
          <w:szCs w:val="22"/>
        </w:rPr>
        <w:t>to</w:t>
      </w:r>
      <w:r w:rsidR="003436FE" w:rsidRPr="0040070F">
        <w:rPr>
          <w:sz w:val="22"/>
          <w:szCs w:val="22"/>
        </w:rPr>
        <w:t xml:space="preserve"> indicate the bank account into which payments should be made if the tender is successful. </w:t>
      </w:r>
    </w:p>
    <w:p w:rsidR="003436FE" w:rsidRPr="0040070F" w:rsidRDefault="003436FE" w:rsidP="006052F7">
      <w:pPr>
        <w:numPr>
          <w:ilvl w:val="0"/>
          <w:numId w:val="5"/>
        </w:numPr>
        <w:tabs>
          <w:tab w:val="clear" w:pos="360"/>
          <w:tab w:val="num" w:pos="927"/>
        </w:tabs>
        <w:spacing w:before="120" w:after="120"/>
        <w:ind w:left="927"/>
        <w:jc w:val="both"/>
        <w:rPr>
          <w:sz w:val="22"/>
          <w:szCs w:val="22"/>
        </w:rPr>
      </w:pPr>
      <w:r w:rsidRPr="0040070F">
        <w:rPr>
          <w:sz w:val="22"/>
          <w:szCs w:val="22"/>
        </w:rPr>
        <w:t xml:space="preserve">The </w:t>
      </w:r>
      <w:r w:rsidRPr="0040070F">
        <w:rPr>
          <w:b/>
          <w:sz w:val="22"/>
          <w:szCs w:val="22"/>
        </w:rPr>
        <w:t>legal entity file</w:t>
      </w:r>
      <w:r w:rsidRPr="0040070F">
        <w:rPr>
          <w:sz w:val="22"/>
          <w:szCs w:val="22"/>
        </w:rPr>
        <w:t xml:space="preserve"> and supporting documents.</w:t>
      </w:r>
    </w:p>
    <w:p w:rsidR="00A17280" w:rsidRDefault="00F479E3" w:rsidP="00A17280">
      <w:pPr>
        <w:numPr>
          <w:ilvl w:val="0"/>
          <w:numId w:val="5"/>
        </w:numPr>
        <w:tabs>
          <w:tab w:val="clear" w:pos="360"/>
          <w:tab w:val="num" w:pos="927"/>
        </w:tabs>
        <w:spacing w:before="120" w:after="120"/>
        <w:ind w:left="927"/>
        <w:jc w:val="both"/>
        <w:rPr>
          <w:sz w:val="22"/>
          <w:szCs w:val="22"/>
        </w:rPr>
      </w:pPr>
      <w:r w:rsidRPr="0040070F">
        <w:rPr>
          <w:sz w:val="22"/>
          <w:szCs w:val="22"/>
        </w:rPr>
        <w:t>A completed Reference list</w:t>
      </w:r>
    </w:p>
    <w:p w:rsidR="00A17280" w:rsidRPr="00A17280" w:rsidRDefault="00A17280" w:rsidP="00A17280">
      <w:pPr>
        <w:numPr>
          <w:ilvl w:val="0"/>
          <w:numId w:val="5"/>
        </w:numPr>
        <w:tabs>
          <w:tab w:val="clear" w:pos="360"/>
          <w:tab w:val="num" w:pos="927"/>
        </w:tabs>
        <w:spacing w:before="120" w:after="120"/>
        <w:ind w:left="927"/>
        <w:jc w:val="both"/>
        <w:rPr>
          <w:sz w:val="22"/>
          <w:szCs w:val="22"/>
        </w:rPr>
      </w:pPr>
      <w:r w:rsidRPr="00A17280">
        <w:rPr>
          <w:b/>
          <w:sz w:val="22"/>
          <w:szCs w:val="22"/>
        </w:rPr>
        <w:t>Company’s registration documents</w:t>
      </w:r>
      <w:r w:rsidRPr="00A17280">
        <w:rPr>
          <w:sz w:val="22"/>
          <w:szCs w:val="22"/>
        </w:rPr>
        <w:t xml:space="preserve"> (registration document issued by the public body in the country of residence and obligatory </w:t>
      </w:r>
      <w:r w:rsidR="004266DE" w:rsidRPr="00A17280">
        <w:rPr>
          <w:sz w:val="22"/>
          <w:szCs w:val="22"/>
        </w:rPr>
        <w:t xml:space="preserve">Business Registration Certificate </w:t>
      </w:r>
      <w:r w:rsidRPr="00A17280">
        <w:rPr>
          <w:sz w:val="22"/>
          <w:szCs w:val="22"/>
        </w:rPr>
        <w:t>– “APR” in Serbia for companies established in Serbia);</w:t>
      </w:r>
    </w:p>
    <w:p w:rsidR="003436FE" w:rsidRPr="0040070F" w:rsidRDefault="003436FE" w:rsidP="006052F7">
      <w:pPr>
        <w:numPr>
          <w:ilvl w:val="0"/>
          <w:numId w:val="5"/>
        </w:numPr>
        <w:tabs>
          <w:tab w:val="clear" w:pos="360"/>
          <w:tab w:val="num" w:pos="927"/>
        </w:tabs>
        <w:spacing w:before="120" w:after="120"/>
        <w:ind w:left="927"/>
        <w:jc w:val="both"/>
        <w:rPr>
          <w:sz w:val="22"/>
          <w:szCs w:val="22"/>
        </w:rPr>
      </w:pPr>
      <w:r w:rsidRPr="00A17280">
        <w:rPr>
          <w:b/>
          <w:sz w:val="22"/>
          <w:szCs w:val="22"/>
        </w:rPr>
        <w:t>Duly authorised signature</w:t>
      </w:r>
      <w:r w:rsidRPr="0040070F">
        <w:rPr>
          <w:sz w:val="22"/>
          <w:szCs w:val="22"/>
        </w:rPr>
        <w:t xml:space="preserve">: an official document (statutes, power of attorney, notary statement, etc.) proving that the person who signs on behalf of the company/joint venture/consortium is duly authorised to do so. </w:t>
      </w:r>
    </w:p>
    <w:p w:rsidR="003436FE" w:rsidRPr="0040070F" w:rsidRDefault="003436FE" w:rsidP="006052F7">
      <w:pPr>
        <w:numPr>
          <w:ilvl w:val="0"/>
          <w:numId w:val="2"/>
        </w:numPr>
        <w:tabs>
          <w:tab w:val="num" w:pos="567"/>
        </w:tabs>
        <w:spacing w:before="120" w:after="120"/>
        <w:ind w:left="567" w:hanging="567"/>
        <w:jc w:val="both"/>
        <w:rPr>
          <w:sz w:val="22"/>
          <w:szCs w:val="22"/>
        </w:rPr>
      </w:pPr>
      <w:r w:rsidRPr="0040070F">
        <w:rPr>
          <w:b/>
          <w:sz w:val="22"/>
          <w:szCs w:val="22"/>
        </w:rPr>
        <w:t>Organisation and methodology</w:t>
      </w:r>
      <w:r w:rsidRPr="0040070F">
        <w:rPr>
          <w:sz w:val="22"/>
          <w:szCs w:val="22"/>
        </w:rPr>
        <w:t xml:space="preserve"> (will become Annex III to the contract), to be drawn up by the tenderer using the format in Annex III to the draft contract.</w:t>
      </w:r>
    </w:p>
    <w:p w:rsidR="00A0539D" w:rsidRPr="0040070F" w:rsidRDefault="00010683" w:rsidP="004D5B2B">
      <w:pPr>
        <w:pStyle w:val="BodyTextIndent"/>
        <w:spacing w:before="120"/>
        <w:rPr>
          <w:b/>
          <w:sz w:val="22"/>
          <w:szCs w:val="22"/>
        </w:rPr>
      </w:pPr>
      <w:r w:rsidRPr="0040070F">
        <w:rPr>
          <w:sz w:val="22"/>
          <w:szCs w:val="22"/>
        </w:rPr>
        <w:t>(</w:t>
      </w:r>
      <w:r w:rsidR="00F05096" w:rsidRPr="0040070F">
        <w:rPr>
          <w:sz w:val="22"/>
          <w:szCs w:val="22"/>
        </w:rPr>
        <w:t>3</w:t>
      </w:r>
      <w:r w:rsidRPr="0040070F">
        <w:rPr>
          <w:sz w:val="22"/>
          <w:szCs w:val="22"/>
        </w:rPr>
        <w:t>)</w:t>
      </w:r>
      <w:r w:rsidR="003436FE" w:rsidRPr="0040070F">
        <w:rPr>
          <w:sz w:val="22"/>
          <w:szCs w:val="22"/>
        </w:rPr>
        <w:tab/>
      </w:r>
      <w:r w:rsidR="004D5B2B" w:rsidRPr="004D5B2B">
        <w:rPr>
          <w:b/>
          <w:sz w:val="22"/>
          <w:szCs w:val="22"/>
        </w:rPr>
        <w:t>Declaration on honour on</w:t>
      </w:r>
      <w:r w:rsidR="004D5B2B">
        <w:rPr>
          <w:b/>
          <w:sz w:val="22"/>
          <w:szCs w:val="22"/>
        </w:rPr>
        <w:t xml:space="preserve"> </w:t>
      </w:r>
      <w:r w:rsidR="004D5B2B" w:rsidRPr="004D5B2B">
        <w:rPr>
          <w:b/>
          <w:sz w:val="22"/>
          <w:szCs w:val="22"/>
        </w:rPr>
        <w:t>exclusion criteria and selection criteria</w:t>
      </w:r>
      <w:r w:rsidR="004D5B2B">
        <w:rPr>
          <w:b/>
          <w:sz w:val="22"/>
          <w:szCs w:val="22"/>
        </w:rPr>
        <w:t>,</w:t>
      </w:r>
      <w:r w:rsidR="00A0539D" w:rsidRPr="0040070F">
        <w:rPr>
          <w:b/>
          <w:sz w:val="22"/>
          <w:szCs w:val="22"/>
        </w:rPr>
        <w:t xml:space="preserve"> </w:t>
      </w:r>
      <w:r w:rsidR="004D5B2B">
        <w:rPr>
          <w:b/>
          <w:sz w:val="22"/>
          <w:szCs w:val="22"/>
        </w:rPr>
        <w:t xml:space="preserve">attached to the Tender form, </w:t>
      </w:r>
      <w:r w:rsidR="00BF10D8" w:rsidRPr="0040070F">
        <w:rPr>
          <w:b/>
          <w:sz w:val="22"/>
          <w:szCs w:val="22"/>
        </w:rPr>
        <w:t>stating that the Company is not in any of the exclusion situations listed in section 2.3.3 of the Practical Guide</w:t>
      </w:r>
      <w:r w:rsidR="00BE5167" w:rsidRPr="0040070F">
        <w:rPr>
          <w:b/>
          <w:sz w:val="22"/>
          <w:szCs w:val="22"/>
        </w:rPr>
        <w:t>, namely</w:t>
      </w:r>
      <w:r w:rsidR="00BF10D8" w:rsidRPr="0040070F">
        <w:rPr>
          <w:b/>
          <w:sz w:val="22"/>
          <w:szCs w:val="22"/>
        </w:rPr>
        <w:t xml:space="preserve">: </w:t>
      </w:r>
    </w:p>
    <w:p w:rsidR="00F32F38" w:rsidRPr="0040070F" w:rsidRDefault="00F32F38" w:rsidP="00BE5167">
      <w:pPr>
        <w:pStyle w:val="BodyTextIndent"/>
        <w:numPr>
          <w:ilvl w:val="0"/>
          <w:numId w:val="8"/>
        </w:numPr>
        <w:spacing w:before="120"/>
        <w:ind w:left="993"/>
        <w:rPr>
          <w:sz w:val="22"/>
          <w:szCs w:val="22"/>
        </w:rPr>
      </w:pPr>
      <w:r w:rsidRPr="0040070F">
        <w:rPr>
          <w:sz w:val="22"/>
          <w:szCs w:val="22"/>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F32F38" w:rsidRPr="0040070F" w:rsidRDefault="00F32F38" w:rsidP="00BE5167">
      <w:pPr>
        <w:pStyle w:val="BodyTextIndent"/>
        <w:numPr>
          <w:ilvl w:val="0"/>
          <w:numId w:val="8"/>
        </w:numPr>
        <w:spacing w:before="120"/>
        <w:ind w:left="993"/>
        <w:rPr>
          <w:sz w:val="22"/>
          <w:szCs w:val="22"/>
        </w:rPr>
      </w:pPr>
      <w:r w:rsidRPr="0040070F">
        <w:rPr>
          <w:sz w:val="22"/>
          <w:szCs w:val="22"/>
        </w:rPr>
        <w:lastRenderedPageBreak/>
        <w:t>they, or persons having powers of representation, decision making or control over them, have been convicted of an offence concerning their professional conduct by a judgment of a competent authority of a Member State which has the force of res judicata; (i.e. against which no appeal is possible);</w:t>
      </w:r>
    </w:p>
    <w:p w:rsidR="00F32F38" w:rsidRPr="0040070F" w:rsidRDefault="00F32F38" w:rsidP="00BE5167">
      <w:pPr>
        <w:pStyle w:val="BodyTextIndent"/>
        <w:numPr>
          <w:ilvl w:val="0"/>
          <w:numId w:val="8"/>
        </w:numPr>
        <w:spacing w:before="120"/>
        <w:ind w:left="993"/>
        <w:rPr>
          <w:sz w:val="22"/>
          <w:szCs w:val="22"/>
        </w:rPr>
      </w:pPr>
      <w:r w:rsidRPr="0040070F">
        <w:rPr>
          <w:sz w:val="22"/>
          <w:szCs w:val="22"/>
        </w:rPr>
        <w:t>they have been guilty of grave professional misconduct proven by any means which the contracting authority can justify, including by decisions of the European Investment Bank and international organisations;</w:t>
      </w:r>
    </w:p>
    <w:p w:rsidR="00F32F38" w:rsidRPr="0040070F" w:rsidRDefault="00F32F38" w:rsidP="00BE5167">
      <w:pPr>
        <w:pStyle w:val="BodyTextIndent"/>
        <w:numPr>
          <w:ilvl w:val="0"/>
          <w:numId w:val="8"/>
        </w:numPr>
        <w:spacing w:before="120"/>
        <w:ind w:left="993"/>
        <w:rPr>
          <w:sz w:val="22"/>
          <w:szCs w:val="22"/>
        </w:rPr>
      </w:pPr>
      <w:r w:rsidRPr="0040070F">
        <w:rPr>
          <w:sz w:val="22"/>
          <w:szCs w:val="22"/>
        </w:rPr>
        <w:t>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F32F38" w:rsidRPr="0040070F" w:rsidRDefault="00F32F38" w:rsidP="00BE5167">
      <w:pPr>
        <w:pStyle w:val="BodyTextIndent"/>
        <w:numPr>
          <w:ilvl w:val="0"/>
          <w:numId w:val="8"/>
        </w:numPr>
        <w:spacing w:before="120"/>
        <w:ind w:left="993"/>
        <w:rPr>
          <w:sz w:val="22"/>
          <w:szCs w:val="22"/>
        </w:rPr>
      </w:pPr>
      <w:r w:rsidRPr="0040070F">
        <w:rPr>
          <w:sz w:val="22"/>
          <w:szCs w:val="22"/>
        </w:rPr>
        <w:t>they, or persons having powers of representation, decision making or control over them, have been the subject of a judgment which has the force of res judicata for fraud, corruption, involvement in a criminal organisation, money laundering or any other illegal activity, where such an illegal activity is detrimental to the EU's financial interests;</w:t>
      </w:r>
    </w:p>
    <w:p w:rsidR="00C57F2E" w:rsidRPr="0040070F" w:rsidRDefault="00F32F38" w:rsidP="00BE5167">
      <w:pPr>
        <w:pStyle w:val="BodyTextIndent"/>
        <w:numPr>
          <w:ilvl w:val="0"/>
          <w:numId w:val="8"/>
        </w:numPr>
        <w:spacing w:before="120"/>
        <w:ind w:left="993"/>
        <w:rPr>
          <w:sz w:val="22"/>
          <w:szCs w:val="22"/>
        </w:rPr>
      </w:pPr>
      <w:proofErr w:type="gramStart"/>
      <w:r w:rsidRPr="0040070F">
        <w:rPr>
          <w:sz w:val="22"/>
          <w:szCs w:val="22"/>
        </w:rPr>
        <w:t>they</w:t>
      </w:r>
      <w:proofErr w:type="gramEnd"/>
      <w:r w:rsidRPr="0040070F">
        <w:rPr>
          <w:sz w:val="22"/>
          <w:szCs w:val="22"/>
        </w:rPr>
        <w:t xml:space="preserve"> are currently subject to an administrative penalty referred to in Article 109(1) of the EU Financial Regulation (for programmes funded by the EU budget and the 11th EDF) and in Article 99 of the 10th EDF Financial Regulation (for programmes funded by the 10th EDF).</w:t>
      </w:r>
    </w:p>
    <w:p w:rsidR="00527F4E" w:rsidRPr="0040070F" w:rsidRDefault="00BE5167" w:rsidP="00BE5167">
      <w:pPr>
        <w:pStyle w:val="BodyTextIndent"/>
        <w:keepNext/>
        <w:keepLines/>
        <w:tabs>
          <w:tab w:val="clear" w:pos="567"/>
        </w:tabs>
        <w:spacing w:before="120"/>
        <w:ind w:firstLine="0"/>
        <w:rPr>
          <w:sz w:val="22"/>
          <w:szCs w:val="22"/>
        </w:rPr>
      </w:pPr>
      <w:r w:rsidRPr="0040070F">
        <w:rPr>
          <w:sz w:val="22"/>
          <w:szCs w:val="22"/>
        </w:rPr>
        <w:t xml:space="preserve">These documents may be submitted as copies. </w:t>
      </w:r>
      <w:r w:rsidR="00A0539D" w:rsidRPr="0040070F">
        <w:rPr>
          <w:sz w:val="22"/>
          <w:szCs w:val="22"/>
        </w:rPr>
        <w:t>The Contracting Authority reserves the right, prior to signature of the contract, to request the submission of the respective evidence and supporting documents in the original.</w:t>
      </w:r>
      <w:r w:rsidR="00BF10D8" w:rsidRPr="0040070F">
        <w:rPr>
          <w:sz w:val="22"/>
          <w:szCs w:val="22"/>
        </w:rPr>
        <w:t xml:space="preserve"> </w:t>
      </w:r>
      <w:r w:rsidR="003436FE" w:rsidRPr="0040070F">
        <w:rPr>
          <w:sz w:val="22"/>
          <w:szCs w:val="22"/>
        </w:rPr>
        <w:t xml:space="preserve">This evidence, documents or statements must be dated, no more than 1 year before the date of submission of the tender. In addition, a </w:t>
      </w:r>
      <w:r w:rsidR="003436FE" w:rsidRPr="0040070F">
        <w:rPr>
          <w:b/>
          <w:sz w:val="22"/>
          <w:szCs w:val="22"/>
        </w:rPr>
        <w:t>statement must be furnished stating that the situations described in these documents have not changed since then.</w:t>
      </w:r>
      <w:r w:rsidR="003436FE" w:rsidRPr="0040070F">
        <w:rPr>
          <w:sz w:val="22"/>
          <w:szCs w:val="22"/>
        </w:rPr>
        <w:t xml:space="preserve"> </w:t>
      </w:r>
    </w:p>
    <w:p w:rsidR="003436FE" w:rsidRPr="0040070F" w:rsidRDefault="003436FE" w:rsidP="003121C6">
      <w:pPr>
        <w:spacing w:before="120" w:after="120"/>
        <w:ind w:left="567"/>
        <w:jc w:val="both"/>
        <w:rPr>
          <w:sz w:val="22"/>
          <w:szCs w:val="22"/>
        </w:rPr>
      </w:pPr>
      <w:r w:rsidRPr="0040070F">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1B2CA6" w:rsidRPr="0040070F" w:rsidRDefault="003121C6" w:rsidP="003121C6">
      <w:pPr>
        <w:spacing w:before="120" w:after="120"/>
        <w:ind w:left="567" w:hanging="567"/>
        <w:jc w:val="both"/>
        <w:rPr>
          <w:color w:val="000000"/>
          <w:sz w:val="22"/>
          <w:szCs w:val="22"/>
        </w:rPr>
      </w:pPr>
      <w:r w:rsidRPr="0040070F">
        <w:rPr>
          <w:color w:val="000000"/>
          <w:sz w:val="22"/>
          <w:szCs w:val="22"/>
        </w:rPr>
        <w:t>(</w:t>
      </w:r>
      <w:r w:rsidR="00AF4DC1" w:rsidRPr="0040070F">
        <w:rPr>
          <w:color w:val="000000"/>
          <w:sz w:val="22"/>
          <w:szCs w:val="22"/>
        </w:rPr>
        <w:t>4</w:t>
      </w:r>
      <w:r w:rsidRPr="0040070F">
        <w:rPr>
          <w:color w:val="000000"/>
          <w:sz w:val="22"/>
          <w:szCs w:val="22"/>
        </w:rPr>
        <w:t>)</w:t>
      </w:r>
      <w:r w:rsidR="00010683" w:rsidRPr="0040070F">
        <w:rPr>
          <w:color w:val="000000"/>
          <w:sz w:val="22"/>
          <w:szCs w:val="22"/>
        </w:rPr>
        <w:tab/>
      </w:r>
      <w:r w:rsidRPr="0040070F">
        <w:rPr>
          <w:b/>
          <w:color w:val="000000"/>
          <w:sz w:val="22"/>
          <w:szCs w:val="22"/>
        </w:rPr>
        <w:t>Documentary evidence of the financial and economic capacity as well as the technical and professional capacity</w:t>
      </w:r>
      <w:r w:rsidRPr="0040070F">
        <w:rPr>
          <w:color w:val="000000"/>
          <w:sz w:val="22"/>
          <w:szCs w:val="22"/>
        </w:rPr>
        <w:t xml:space="preserve"> according to the selection criteria specified in the procurement notice</w:t>
      </w:r>
      <w:r w:rsidR="00F32F38" w:rsidRPr="0040070F">
        <w:rPr>
          <w:color w:val="000000"/>
          <w:sz w:val="22"/>
          <w:szCs w:val="22"/>
        </w:rPr>
        <w:t xml:space="preserve"> (point 16: Selection Criteria)</w:t>
      </w:r>
      <w:r w:rsidRPr="0040070F">
        <w:rPr>
          <w:color w:val="000000"/>
          <w:sz w:val="22"/>
          <w:szCs w:val="22"/>
        </w:rPr>
        <w:t xml:space="preserve">. </w:t>
      </w:r>
      <w:r w:rsidR="00C3216F" w:rsidRPr="0040070F">
        <w:rPr>
          <w:sz w:val="22"/>
          <w:szCs w:val="22"/>
        </w:rPr>
        <w:t>(S</w:t>
      </w:r>
      <w:r w:rsidRPr="0040070F">
        <w:rPr>
          <w:sz w:val="22"/>
          <w:szCs w:val="22"/>
        </w:rPr>
        <w:t>ee further point 2.4.11 of the Practical Guide).</w:t>
      </w:r>
      <w:r w:rsidRPr="0040070F">
        <w:rPr>
          <w:color w:val="000000"/>
          <w:sz w:val="22"/>
          <w:szCs w:val="22"/>
        </w:rPr>
        <w:t xml:space="preserve"> </w:t>
      </w:r>
    </w:p>
    <w:p w:rsidR="001777B7" w:rsidRPr="0040070F" w:rsidRDefault="001777B7" w:rsidP="004631FD">
      <w:pPr>
        <w:spacing w:before="120" w:after="120"/>
        <w:ind w:left="567"/>
        <w:jc w:val="both"/>
        <w:rPr>
          <w:sz w:val="22"/>
          <w:szCs w:val="22"/>
        </w:rPr>
      </w:pPr>
      <w:r w:rsidRPr="0040070F">
        <w:rPr>
          <w:sz w:val="22"/>
          <w:szCs w:val="22"/>
        </w:rPr>
        <w:t>Namely:</w:t>
      </w:r>
    </w:p>
    <w:p w:rsidR="001777B7" w:rsidRPr="0040070F" w:rsidRDefault="001777B7" w:rsidP="006052F7">
      <w:pPr>
        <w:pStyle w:val="BodyTextIndent"/>
        <w:numPr>
          <w:ilvl w:val="0"/>
          <w:numId w:val="8"/>
        </w:numPr>
        <w:tabs>
          <w:tab w:val="clear" w:pos="567"/>
        </w:tabs>
        <w:spacing w:before="120"/>
        <w:ind w:left="993"/>
        <w:rPr>
          <w:color w:val="000000"/>
          <w:sz w:val="22"/>
          <w:szCs w:val="22"/>
        </w:rPr>
      </w:pPr>
      <w:r w:rsidRPr="0040070F">
        <w:rPr>
          <w:sz w:val="22"/>
          <w:szCs w:val="22"/>
        </w:rPr>
        <w:t>Balance</w:t>
      </w:r>
      <w:r w:rsidRPr="0040070F">
        <w:rPr>
          <w:color w:val="000000"/>
          <w:sz w:val="22"/>
          <w:szCs w:val="22"/>
        </w:rPr>
        <w:t xml:space="preserve"> sheets or extracts from balance sheets for at least the last three years for which accounts have been closed;</w:t>
      </w:r>
    </w:p>
    <w:p w:rsidR="003E0637" w:rsidRPr="0040070F" w:rsidRDefault="00F32F38" w:rsidP="003E0637">
      <w:pPr>
        <w:pStyle w:val="BodyTextIndent"/>
        <w:numPr>
          <w:ilvl w:val="0"/>
          <w:numId w:val="8"/>
        </w:numPr>
        <w:tabs>
          <w:tab w:val="clear" w:pos="567"/>
        </w:tabs>
        <w:spacing w:before="120"/>
        <w:ind w:left="993"/>
        <w:rPr>
          <w:color w:val="000000"/>
          <w:sz w:val="22"/>
          <w:szCs w:val="22"/>
        </w:rPr>
      </w:pPr>
      <w:r w:rsidRPr="0040070F">
        <w:rPr>
          <w:sz w:val="22"/>
          <w:szCs w:val="22"/>
        </w:rPr>
        <w:t xml:space="preserve">Copies of the employment </w:t>
      </w:r>
      <w:r w:rsidR="005C53E7" w:rsidRPr="0040070F">
        <w:rPr>
          <w:sz w:val="22"/>
          <w:szCs w:val="22"/>
        </w:rPr>
        <w:t xml:space="preserve">evidence </w:t>
      </w:r>
      <w:r w:rsidR="006430C5" w:rsidRPr="0040070F">
        <w:rPr>
          <w:sz w:val="22"/>
          <w:szCs w:val="22"/>
        </w:rPr>
        <w:t xml:space="preserve">with enclosed specification of duties </w:t>
      </w:r>
      <w:r w:rsidRPr="0040070F">
        <w:rPr>
          <w:sz w:val="22"/>
          <w:szCs w:val="22"/>
        </w:rPr>
        <w:t>of the respective personnel;</w:t>
      </w:r>
    </w:p>
    <w:p w:rsidR="005C53E7" w:rsidRPr="0040070F" w:rsidRDefault="005C53E7" w:rsidP="00F77CC4">
      <w:pPr>
        <w:pStyle w:val="BodyTextIndent"/>
        <w:numPr>
          <w:ilvl w:val="0"/>
          <w:numId w:val="8"/>
        </w:numPr>
        <w:tabs>
          <w:tab w:val="clear" w:pos="567"/>
        </w:tabs>
        <w:spacing w:before="120"/>
        <w:ind w:left="993"/>
        <w:rPr>
          <w:sz w:val="22"/>
          <w:szCs w:val="22"/>
        </w:rPr>
      </w:pPr>
      <w:r w:rsidRPr="0040070F">
        <w:rPr>
          <w:sz w:val="22"/>
          <w:szCs w:val="22"/>
        </w:rPr>
        <w:t xml:space="preserve">Proper evidence of </w:t>
      </w:r>
      <w:r w:rsidR="00F612B8" w:rsidRPr="0040070F">
        <w:rPr>
          <w:sz w:val="22"/>
          <w:szCs w:val="22"/>
        </w:rPr>
        <w:t>technical capacity</w:t>
      </w:r>
      <w:r w:rsidR="006430C5" w:rsidRPr="0040070F">
        <w:rPr>
          <w:sz w:val="22"/>
          <w:szCs w:val="22"/>
        </w:rPr>
        <w:t xml:space="preserve"> </w:t>
      </w:r>
      <w:r w:rsidRPr="0040070F">
        <w:rPr>
          <w:sz w:val="22"/>
          <w:szCs w:val="22"/>
        </w:rPr>
        <w:t>(</w:t>
      </w:r>
      <w:r w:rsidRPr="0040070F">
        <w:rPr>
          <w:sz w:val="22"/>
          <w:szCs w:val="22"/>
          <w:u w:val="single"/>
        </w:rPr>
        <w:t xml:space="preserve">statement or certificate from the entity which awarded </w:t>
      </w:r>
      <w:r w:rsidR="00F77CC4" w:rsidRPr="0040070F">
        <w:rPr>
          <w:sz w:val="22"/>
          <w:szCs w:val="22"/>
          <w:u w:val="single"/>
        </w:rPr>
        <w:t>the contract</w:t>
      </w:r>
      <w:r w:rsidR="006430C5" w:rsidRPr="0040070F">
        <w:rPr>
          <w:sz w:val="22"/>
          <w:szCs w:val="22"/>
        </w:rPr>
        <w:t xml:space="preserve"> or </w:t>
      </w:r>
      <w:r w:rsidR="00F77CC4" w:rsidRPr="0040070F">
        <w:rPr>
          <w:sz w:val="22"/>
          <w:szCs w:val="22"/>
        </w:rPr>
        <w:t xml:space="preserve">final </w:t>
      </w:r>
      <w:r w:rsidR="006430C5" w:rsidRPr="0040070F">
        <w:rPr>
          <w:sz w:val="22"/>
          <w:szCs w:val="22"/>
        </w:rPr>
        <w:t>invoice</w:t>
      </w:r>
      <w:r w:rsidR="00F612B8" w:rsidRPr="0040070F">
        <w:rPr>
          <w:sz w:val="22"/>
          <w:szCs w:val="22"/>
        </w:rPr>
        <w:t xml:space="preserve"> for the </w:t>
      </w:r>
      <w:r w:rsidR="00597E73" w:rsidRPr="0040070F">
        <w:rPr>
          <w:sz w:val="22"/>
          <w:szCs w:val="22"/>
        </w:rPr>
        <w:t>references</w:t>
      </w:r>
      <w:r w:rsidR="00F612B8" w:rsidRPr="0040070F">
        <w:rPr>
          <w:sz w:val="22"/>
          <w:szCs w:val="22"/>
        </w:rPr>
        <w:t xml:space="preserve"> indicated in the Article 6 Experience of the Tender form</w:t>
      </w:r>
      <w:r w:rsidR="00F77CC4" w:rsidRPr="0040070F">
        <w:rPr>
          <w:sz w:val="22"/>
          <w:szCs w:val="22"/>
        </w:rPr>
        <w:t>);</w:t>
      </w:r>
      <w:r w:rsidRPr="0040070F">
        <w:rPr>
          <w:sz w:val="22"/>
          <w:szCs w:val="22"/>
        </w:rPr>
        <w:t xml:space="preserve"> In case of projects still on-going only the portion satisfactorily completed during the reference period</w:t>
      </w:r>
      <w:r w:rsidR="00565B27" w:rsidRPr="0040070F">
        <w:rPr>
          <w:sz w:val="22"/>
          <w:szCs w:val="22"/>
        </w:rPr>
        <w:t xml:space="preserve"> (</w:t>
      </w:r>
      <w:r w:rsidR="00470E2F" w:rsidRPr="0040070F">
        <w:rPr>
          <w:sz w:val="22"/>
          <w:szCs w:val="22"/>
        </w:rPr>
        <w:t>last three years</w:t>
      </w:r>
      <w:r w:rsidR="00565B27" w:rsidRPr="0040070F">
        <w:rPr>
          <w:sz w:val="22"/>
          <w:szCs w:val="22"/>
        </w:rPr>
        <w:t>)</w:t>
      </w:r>
      <w:r w:rsidRPr="0040070F">
        <w:rPr>
          <w:sz w:val="22"/>
          <w:szCs w:val="22"/>
        </w:rPr>
        <w:t xml:space="preserve"> will be taken into consideration. This portion will have to be supported by documentary evidence (similarly to projects completed) also detailing its value.</w:t>
      </w:r>
    </w:p>
    <w:p w:rsidR="003121C6" w:rsidRPr="0040070F" w:rsidRDefault="003121C6" w:rsidP="003436FE">
      <w:pPr>
        <w:spacing w:before="120" w:after="120"/>
        <w:jc w:val="both"/>
        <w:rPr>
          <w:sz w:val="22"/>
          <w:szCs w:val="22"/>
        </w:rPr>
      </w:pPr>
      <w:r w:rsidRPr="0040070F">
        <w:rPr>
          <w:sz w:val="22"/>
          <w:szCs w:val="22"/>
          <w:lang w:bidi="kn-IN"/>
        </w:rPr>
        <w:lastRenderedPageBreak/>
        <w:t>If the documentary evidence submitted is not written in one of the official languages of the European Union</w:t>
      </w:r>
      <w:r w:rsidR="00BF10D8" w:rsidRPr="0040070F">
        <w:rPr>
          <w:sz w:val="22"/>
          <w:szCs w:val="22"/>
          <w:lang w:bidi="kn-IN"/>
        </w:rPr>
        <w:t xml:space="preserve"> or in Serbian language</w:t>
      </w:r>
      <w:r w:rsidRPr="0040070F">
        <w:rPr>
          <w:sz w:val="22"/>
          <w:szCs w:val="22"/>
          <w:lang w:bidi="kn-IN"/>
        </w:rPr>
        <w:t xml:space="preserve">, a translation into the language of the procedure </w:t>
      </w:r>
      <w:r w:rsidR="00BF10D8" w:rsidRPr="0040070F">
        <w:rPr>
          <w:sz w:val="22"/>
          <w:szCs w:val="22"/>
          <w:lang w:bidi="kn-IN"/>
        </w:rPr>
        <w:t xml:space="preserve">or Serbian language </w:t>
      </w:r>
      <w:r w:rsidRPr="0040070F">
        <w:rPr>
          <w:sz w:val="22"/>
          <w:szCs w:val="22"/>
          <w:lang w:bidi="kn-IN"/>
        </w:rPr>
        <w:t>must be attached. Where the documents are in an official language of the European Union other than the one of the procedure, it is however strongly recommended to provide a translation into the language of the procedure</w:t>
      </w:r>
      <w:r w:rsidR="00BF10D8" w:rsidRPr="0040070F">
        <w:rPr>
          <w:sz w:val="22"/>
          <w:szCs w:val="22"/>
          <w:lang w:bidi="kn-IN"/>
        </w:rPr>
        <w:t xml:space="preserve"> or the Serbian language</w:t>
      </w:r>
      <w:r w:rsidRPr="0040070F">
        <w:rPr>
          <w:sz w:val="22"/>
          <w:szCs w:val="22"/>
          <w:lang w:bidi="kn-IN"/>
        </w:rPr>
        <w:t>, in order to facilitate the evaluation of the documents</w:t>
      </w:r>
      <w:r w:rsidRPr="0040070F">
        <w:rPr>
          <w:sz w:val="22"/>
          <w:szCs w:val="22"/>
        </w:rPr>
        <w:t>. Documentary proof or statements may be in original or copy. If copies are submitted, the originals must be available to send to the Contracting Authority upon request.</w:t>
      </w:r>
    </w:p>
    <w:p w:rsidR="003436FE" w:rsidRPr="0040070F" w:rsidRDefault="003436FE" w:rsidP="003436FE">
      <w:pPr>
        <w:spacing w:before="120" w:after="120"/>
        <w:jc w:val="both"/>
        <w:rPr>
          <w:sz w:val="22"/>
          <w:szCs w:val="22"/>
        </w:rPr>
      </w:pPr>
      <w:r w:rsidRPr="0040070F">
        <w:rPr>
          <w:sz w:val="22"/>
          <w:szCs w:val="22"/>
        </w:rPr>
        <w:t>Tenderers are reminded that the provision of false information in this tender procedure may lead to their exclusion from EU-funded contracts.</w:t>
      </w:r>
    </w:p>
    <w:p w:rsidR="003436FE" w:rsidRPr="0040070F" w:rsidRDefault="00E22E88" w:rsidP="003436FE">
      <w:pPr>
        <w:spacing w:before="120" w:after="120"/>
        <w:jc w:val="both"/>
        <w:rPr>
          <w:sz w:val="22"/>
          <w:szCs w:val="22"/>
        </w:rPr>
      </w:pPr>
      <w:r w:rsidRPr="0040070F">
        <w:rPr>
          <w:sz w:val="22"/>
          <w:szCs w:val="22"/>
        </w:rPr>
        <w:t>T</w:t>
      </w:r>
      <w:r w:rsidR="003436FE" w:rsidRPr="0040070F">
        <w:rPr>
          <w:sz w:val="22"/>
          <w:szCs w:val="22"/>
        </w:rPr>
        <w:t>he electronic version of the technical offer must be included with the printed version in the separate envelope in which the technical offer is submitted. If there are any discrepancies between the electronic version and the original, printed version, the latter has precedence.</w:t>
      </w:r>
    </w:p>
    <w:p w:rsidR="003436FE" w:rsidRPr="0040070F" w:rsidRDefault="003436FE" w:rsidP="00010683">
      <w:pPr>
        <w:keepNext/>
        <w:spacing w:before="120" w:after="120"/>
        <w:ind w:left="567" w:hanging="567"/>
        <w:jc w:val="both"/>
        <w:rPr>
          <w:b/>
          <w:sz w:val="22"/>
          <w:szCs w:val="22"/>
        </w:rPr>
      </w:pPr>
      <w:r w:rsidRPr="0040070F">
        <w:rPr>
          <w:b/>
          <w:sz w:val="22"/>
          <w:szCs w:val="22"/>
        </w:rPr>
        <w:t>4.2</w:t>
      </w:r>
      <w:r w:rsidR="00010683" w:rsidRPr="0040070F">
        <w:rPr>
          <w:b/>
          <w:sz w:val="22"/>
          <w:szCs w:val="22"/>
        </w:rPr>
        <w:t>.</w:t>
      </w:r>
      <w:r w:rsidRPr="0040070F">
        <w:rPr>
          <w:b/>
          <w:sz w:val="22"/>
          <w:szCs w:val="22"/>
        </w:rPr>
        <w:tab/>
        <w:t>Financial offer</w:t>
      </w:r>
    </w:p>
    <w:p w:rsidR="008531BA" w:rsidRPr="0040070F" w:rsidRDefault="003436FE" w:rsidP="003436FE">
      <w:pPr>
        <w:shd w:val="clear" w:color="auto" w:fill="FFFFFF"/>
        <w:spacing w:before="120" w:after="120"/>
        <w:jc w:val="both"/>
        <w:rPr>
          <w:sz w:val="22"/>
          <w:szCs w:val="22"/>
        </w:rPr>
      </w:pPr>
      <w:r w:rsidRPr="0040070F">
        <w:rPr>
          <w:sz w:val="22"/>
          <w:szCs w:val="22"/>
        </w:rPr>
        <w:t>The Financial offer must be presented as an amount in Euro</w:t>
      </w:r>
      <w:r w:rsidR="00F05096" w:rsidRPr="0040070F">
        <w:rPr>
          <w:sz w:val="22"/>
          <w:szCs w:val="22"/>
        </w:rPr>
        <w:t xml:space="preserve"> </w:t>
      </w:r>
      <w:r w:rsidRPr="0040070F">
        <w:rPr>
          <w:sz w:val="22"/>
          <w:szCs w:val="22"/>
        </w:rPr>
        <w:t>and must be submitted using the template for the global-price version of Annex V to part B of this tender dossier. The electronic version of this document ‘B8 — Budget for a global-price contract’ can be found on the website</w:t>
      </w:r>
      <w:r w:rsidR="00F05096" w:rsidRPr="0040070F">
        <w:rPr>
          <w:sz w:val="22"/>
          <w:szCs w:val="22"/>
        </w:rPr>
        <w:t>:</w:t>
      </w:r>
    </w:p>
    <w:p w:rsidR="005F1DD5" w:rsidRPr="0040070F" w:rsidRDefault="004706B8" w:rsidP="003436FE">
      <w:pPr>
        <w:shd w:val="clear" w:color="auto" w:fill="FFFFFF"/>
        <w:spacing w:before="120" w:after="120"/>
        <w:jc w:val="both"/>
        <w:rPr>
          <w:color w:val="0000FF"/>
          <w:sz w:val="22"/>
          <w:szCs w:val="22"/>
        </w:rPr>
      </w:pPr>
      <w:hyperlink r:id="rId9" w:history="1">
        <w:r w:rsidR="00996707" w:rsidRPr="0040070F">
          <w:rPr>
            <w:rStyle w:val="Hyperlink"/>
            <w:sz w:val="22"/>
            <w:szCs w:val="22"/>
          </w:rPr>
          <w:t>http://ec.europa.eu/europeaid/prag/document.do</w:t>
        </w:r>
      </w:hyperlink>
      <w:r w:rsidR="005D1583" w:rsidRPr="0040070F">
        <w:rPr>
          <w:sz w:val="22"/>
          <w:szCs w:val="22"/>
        </w:rPr>
        <w:t>.</w:t>
      </w:r>
    </w:p>
    <w:p w:rsidR="003436FE" w:rsidRPr="0040070F" w:rsidRDefault="003436FE" w:rsidP="004631FD">
      <w:pPr>
        <w:pBdr>
          <w:top w:val="single" w:sz="4" w:space="1" w:color="auto"/>
          <w:left w:val="single" w:sz="4" w:space="4" w:color="auto"/>
          <w:bottom w:val="single" w:sz="4" w:space="1" w:color="auto"/>
          <w:right w:val="single" w:sz="4" w:space="4" w:color="auto"/>
        </w:pBdr>
        <w:shd w:val="clear" w:color="auto" w:fill="FFFFFF"/>
        <w:spacing w:before="120" w:after="120"/>
        <w:jc w:val="both"/>
        <w:rPr>
          <w:sz w:val="22"/>
          <w:szCs w:val="22"/>
        </w:rPr>
      </w:pPr>
      <w:r w:rsidRPr="0040070F">
        <w:rPr>
          <w:sz w:val="22"/>
          <w:szCs w:val="22"/>
        </w:rPr>
        <w:t xml:space="preserve">Tenderers are reminded that the maximum budget available for this contract, as stated in the </w:t>
      </w:r>
      <w:r w:rsidR="00517439" w:rsidRPr="0040070F">
        <w:rPr>
          <w:sz w:val="22"/>
          <w:szCs w:val="22"/>
        </w:rPr>
        <w:t xml:space="preserve">contract </w:t>
      </w:r>
      <w:r w:rsidRPr="0040070F">
        <w:rPr>
          <w:sz w:val="22"/>
          <w:szCs w:val="22"/>
        </w:rPr>
        <w:t xml:space="preserve">notice, is </w:t>
      </w:r>
      <w:r w:rsidR="003343C9" w:rsidRPr="0040070F">
        <w:rPr>
          <w:b/>
          <w:sz w:val="22"/>
          <w:szCs w:val="22"/>
        </w:rPr>
        <w:t xml:space="preserve">EUR </w:t>
      </w:r>
      <w:r w:rsidR="00DD3711">
        <w:rPr>
          <w:b/>
          <w:sz w:val="22"/>
          <w:szCs w:val="22"/>
          <w:u w:val="single"/>
        </w:rPr>
        <w:t>7</w:t>
      </w:r>
      <w:r w:rsidR="00493235" w:rsidRPr="0040070F">
        <w:rPr>
          <w:b/>
          <w:sz w:val="22"/>
          <w:szCs w:val="22"/>
          <w:u w:val="single"/>
        </w:rPr>
        <w:t>.</w:t>
      </w:r>
      <w:r w:rsidR="008105AC" w:rsidRPr="0040070F">
        <w:rPr>
          <w:b/>
          <w:sz w:val="22"/>
          <w:szCs w:val="22"/>
          <w:u w:val="single"/>
        </w:rPr>
        <w:t>0</w:t>
      </w:r>
      <w:r w:rsidR="00493235" w:rsidRPr="0040070F">
        <w:rPr>
          <w:b/>
          <w:sz w:val="22"/>
          <w:szCs w:val="22"/>
          <w:u w:val="single"/>
        </w:rPr>
        <w:t>00</w:t>
      </w:r>
      <w:r w:rsidRPr="0040070F">
        <w:rPr>
          <w:b/>
          <w:sz w:val="22"/>
          <w:szCs w:val="22"/>
        </w:rPr>
        <w:t>.</w:t>
      </w:r>
      <w:r w:rsidRPr="0040070F">
        <w:rPr>
          <w:sz w:val="22"/>
          <w:szCs w:val="22"/>
        </w:rPr>
        <w:t xml:space="preserve"> </w:t>
      </w:r>
      <w:r w:rsidR="00470E2F" w:rsidRPr="0040070F">
        <w:rPr>
          <w:sz w:val="22"/>
          <w:szCs w:val="22"/>
        </w:rPr>
        <w:t>P</w:t>
      </w:r>
      <w:r w:rsidRPr="0040070F">
        <w:rPr>
          <w:sz w:val="22"/>
          <w:szCs w:val="22"/>
        </w:rPr>
        <w:t xml:space="preserve">ayments under this contract will be made in </w:t>
      </w:r>
      <w:r w:rsidR="00470E2F" w:rsidRPr="0040070F">
        <w:rPr>
          <w:sz w:val="22"/>
          <w:szCs w:val="22"/>
        </w:rPr>
        <w:t xml:space="preserve">RSD according to </w:t>
      </w:r>
      <w:r w:rsidR="006F25A2" w:rsidRPr="0040070F">
        <w:rPr>
          <w:sz w:val="22"/>
          <w:szCs w:val="22"/>
        </w:rPr>
        <w:t>the</w:t>
      </w:r>
      <w:r w:rsidR="00D97539" w:rsidRPr="0040070F">
        <w:rPr>
          <w:sz w:val="22"/>
          <w:szCs w:val="22"/>
        </w:rPr>
        <w:t xml:space="preserve"> exchange rate</w:t>
      </w:r>
      <w:r w:rsidR="00DD3711">
        <w:rPr>
          <w:sz w:val="22"/>
          <w:szCs w:val="22"/>
        </w:rPr>
        <w:t xml:space="preserve"> of 118.7241</w:t>
      </w:r>
      <w:r w:rsidR="00D97539" w:rsidRPr="0040070F">
        <w:rPr>
          <w:sz w:val="22"/>
          <w:szCs w:val="22"/>
        </w:rPr>
        <w:t>, based on ASB financial procedures</w:t>
      </w:r>
      <w:r w:rsidR="006F25A2" w:rsidRPr="0040070F">
        <w:rPr>
          <w:sz w:val="22"/>
          <w:szCs w:val="22"/>
        </w:rPr>
        <w:t>.</w:t>
      </w:r>
      <w:r w:rsidRPr="0040070F">
        <w:rPr>
          <w:sz w:val="22"/>
          <w:szCs w:val="22"/>
        </w:rPr>
        <w:t xml:space="preserve"> </w:t>
      </w:r>
    </w:p>
    <w:p w:rsidR="003436FE" w:rsidRPr="0040070F" w:rsidRDefault="003436FE" w:rsidP="003436FE">
      <w:pPr>
        <w:shd w:val="clear" w:color="auto" w:fill="FFFFFF"/>
        <w:spacing w:before="120" w:after="120"/>
        <w:jc w:val="both"/>
        <w:rPr>
          <w:sz w:val="22"/>
          <w:szCs w:val="22"/>
        </w:rPr>
      </w:pPr>
      <w:r w:rsidRPr="0040070F">
        <w:rPr>
          <w:sz w:val="22"/>
          <w:szCs w:val="22"/>
        </w:rPr>
        <w:t>The applicable tax and customs arrangements are as follow</w:t>
      </w:r>
      <w:r w:rsidR="005D1583" w:rsidRPr="0040070F">
        <w:rPr>
          <w:sz w:val="22"/>
          <w:szCs w:val="22"/>
        </w:rPr>
        <w:t>s:</w:t>
      </w:r>
    </w:p>
    <w:p w:rsidR="003436FE" w:rsidRPr="0040070F" w:rsidRDefault="003436FE" w:rsidP="005D1583">
      <w:pPr>
        <w:keepNext/>
        <w:shd w:val="clear" w:color="auto" w:fill="FFFFFF"/>
        <w:spacing w:before="120" w:after="120"/>
        <w:jc w:val="both"/>
        <w:rPr>
          <w:sz w:val="22"/>
          <w:szCs w:val="22"/>
          <w:u w:val="single"/>
        </w:rPr>
      </w:pPr>
      <w:r w:rsidRPr="0040070F">
        <w:rPr>
          <w:sz w:val="22"/>
          <w:szCs w:val="22"/>
          <w:u w:val="single"/>
        </w:rPr>
        <w:t>Exemption of taxes</w:t>
      </w:r>
    </w:p>
    <w:p w:rsidR="003436FE" w:rsidRPr="0040070F" w:rsidRDefault="009811AE" w:rsidP="004631FD">
      <w:pPr>
        <w:spacing w:after="120"/>
        <w:jc w:val="both"/>
        <w:rPr>
          <w:sz w:val="22"/>
          <w:szCs w:val="22"/>
        </w:rPr>
      </w:pPr>
      <w:r w:rsidRPr="0040070F">
        <w:rPr>
          <w:sz w:val="22"/>
          <w:szCs w:val="22"/>
        </w:rPr>
        <w:t xml:space="preserve">The issue is to be processed in line with the European Commission and the Republic of Serbia Framework Agreement as of 29 December 2014.  </w:t>
      </w:r>
      <w:r w:rsidR="003436FE" w:rsidRPr="0040070F">
        <w:rPr>
          <w:sz w:val="22"/>
          <w:szCs w:val="22"/>
        </w:rPr>
        <w:t xml:space="preserve">  </w:t>
      </w:r>
    </w:p>
    <w:p w:rsidR="003436FE" w:rsidRPr="0040070F" w:rsidRDefault="003436FE" w:rsidP="006052F7">
      <w:pPr>
        <w:keepNext/>
        <w:numPr>
          <w:ilvl w:val="0"/>
          <w:numId w:val="4"/>
        </w:numPr>
        <w:spacing w:before="120" w:after="120"/>
        <w:jc w:val="both"/>
        <w:rPr>
          <w:b/>
          <w:sz w:val="22"/>
          <w:szCs w:val="22"/>
        </w:rPr>
      </w:pPr>
      <w:r w:rsidRPr="0040070F">
        <w:rPr>
          <w:b/>
          <w:sz w:val="22"/>
          <w:szCs w:val="22"/>
        </w:rPr>
        <w:t>Variant solutions</w:t>
      </w:r>
    </w:p>
    <w:p w:rsidR="003436FE" w:rsidRPr="0040070F" w:rsidRDefault="003436FE" w:rsidP="003436FE">
      <w:pPr>
        <w:spacing w:before="120" w:after="120"/>
        <w:rPr>
          <w:sz w:val="22"/>
          <w:szCs w:val="22"/>
        </w:rPr>
      </w:pPr>
      <w:r w:rsidRPr="0040070F">
        <w:rPr>
          <w:sz w:val="22"/>
          <w:szCs w:val="22"/>
        </w:rPr>
        <w:t xml:space="preserve">Tenderers </w:t>
      </w:r>
      <w:r w:rsidR="000C5425" w:rsidRPr="0040070F">
        <w:rPr>
          <w:sz w:val="22"/>
          <w:szCs w:val="22"/>
        </w:rPr>
        <w:t>are not</w:t>
      </w:r>
      <w:r w:rsidRPr="0040070F">
        <w:rPr>
          <w:sz w:val="22"/>
          <w:szCs w:val="22"/>
        </w:rPr>
        <w:t xml:space="preserve"> authorised to tender for a variant in addition to this tender.</w:t>
      </w:r>
    </w:p>
    <w:p w:rsidR="003436FE" w:rsidRPr="0040070F" w:rsidRDefault="003436FE" w:rsidP="006052F7">
      <w:pPr>
        <w:keepNext/>
        <w:keepLines/>
        <w:numPr>
          <w:ilvl w:val="0"/>
          <w:numId w:val="4"/>
        </w:numPr>
        <w:spacing w:before="120" w:after="120"/>
        <w:jc w:val="both"/>
        <w:rPr>
          <w:b/>
          <w:sz w:val="22"/>
          <w:szCs w:val="22"/>
        </w:rPr>
      </w:pPr>
      <w:r w:rsidRPr="0040070F">
        <w:rPr>
          <w:b/>
          <w:sz w:val="22"/>
          <w:szCs w:val="22"/>
        </w:rPr>
        <w:t>Period during which tenders are binding</w:t>
      </w:r>
    </w:p>
    <w:p w:rsidR="003436FE" w:rsidRPr="0040070F" w:rsidRDefault="003436FE" w:rsidP="003436FE">
      <w:pPr>
        <w:keepNext/>
        <w:keepLines/>
        <w:spacing w:before="120" w:after="120"/>
        <w:jc w:val="both"/>
        <w:rPr>
          <w:sz w:val="22"/>
          <w:szCs w:val="22"/>
        </w:rPr>
      </w:pPr>
      <w:r w:rsidRPr="0040070F">
        <w:rPr>
          <w:sz w:val="22"/>
          <w:szCs w:val="22"/>
        </w:rPr>
        <w:t xml:space="preserve">Tenderers are bound by their tenders for </w:t>
      </w:r>
      <w:r w:rsidRPr="0040070F">
        <w:rPr>
          <w:b/>
          <w:sz w:val="22"/>
          <w:szCs w:val="22"/>
        </w:rPr>
        <w:t>90 days</w:t>
      </w:r>
      <w:r w:rsidRPr="0040070F">
        <w:rPr>
          <w:sz w:val="22"/>
          <w:szCs w:val="22"/>
        </w:rPr>
        <w:t xml:space="preserve"> after the deadline for submitting tenders</w:t>
      </w:r>
      <w:r w:rsidR="00574DD1" w:rsidRPr="0040070F">
        <w:rPr>
          <w:sz w:val="22"/>
          <w:szCs w:val="22"/>
        </w:rPr>
        <w:t xml:space="preserve"> or until they have been notified o</w:t>
      </w:r>
      <w:r w:rsidR="00917284" w:rsidRPr="0040070F">
        <w:rPr>
          <w:sz w:val="22"/>
          <w:szCs w:val="22"/>
        </w:rPr>
        <w:t>f</w:t>
      </w:r>
      <w:r w:rsidR="00574DD1" w:rsidRPr="0040070F">
        <w:rPr>
          <w:sz w:val="22"/>
          <w:szCs w:val="22"/>
        </w:rPr>
        <w:t xml:space="preserve"> </w:t>
      </w:r>
      <w:r w:rsidR="00632671" w:rsidRPr="0040070F">
        <w:rPr>
          <w:sz w:val="22"/>
          <w:szCs w:val="22"/>
        </w:rPr>
        <w:t>non-award</w:t>
      </w:r>
      <w:r w:rsidRPr="0040070F">
        <w:rPr>
          <w:sz w:val="22"/>
          <w:szCs w:val="22"/>
        </w:rPr>
        <w:t xml:space="preserve">. </w:t>
      </w:r>
    </w:p>
    <w:p w:rsidR="003436FE" w:rsidRPr="0040070F" w:rsidRDefault="003436FE" w:rsidP="003436FE">
      <w:pPr>
        <w:pStyle w:val="BodyText"/>
        <w:keepNext/>
        <w:keepLines/>
        <w:tabs>
          <w:tab w:val="left" w:pos="567"/>
        </w:tabs>
        <w:spacing w:before="120" w:after="120"/>
        <w:jc w:val="both"/>
        <w:rPr>
          <w:b/>
          <w:sz w:val="22"/>
          <w:szCs w:val="22"/>
        </w:rPr>
      </w:pPr>
      <w:r w:rsidRPr="0040070F">
        <w:rPr>
          <w:sz w:val="22"/>
          <w:szCs w:val="22"/>
        </w:rPr>
        <w:t xml:space="preserve">The selected tenderer must maintain its tender for a further </w:t>
      </w:r>
      <w:r w:rsidRPr="0040070F">
        <w:rPr>
          <w:b/>
          <w:sz w:val="22"/>
          <w:szCs w:val="22"/>
        </w:rPr>
        <w:t>60 days</w:t>
      </w:r>
      <w:r w:rsidRPr="0040070F">
        <w:rPr>
          <w:sz w:val="22"/>
          <w:szCs w:val="22"/>
        </w:rPr>
        <w:t>. A further period of 60 days is added to the validity period irrespective of the date of notification.</w:t>
      </w:r>
    </w:p>
    <w:p w:rsidR="003436FE" w:rsidRPr="0040070F" w:rsidRDefault="003436FE" w:rsidP="006052F7">
      <w:pPr>
        <w:keepNext/>
        <w:numPr>
          <w:ilvl w:val="0"/>
          <w:numId w:val="4"/>
        </w:numPr>
        <w:spacing w:before="120" w:after="120"/>
        <w:jc w:val="both"/>
        <w:rPr>
          <w:b/>
          <w:sz w:val="22"/>
          <w:szCs w:val="22"/>
        </w:rPr>
      </w:pPr>
      <w:r w:rsidRPr="0040070F">
        <w:rPr>
          <w:b/>
          <w:sz w:val="22"/>
          <w:szCs w:val="22"/>
        </w:rPr>
        <w:t>Additional information before the deadline for submitting tenders</w:t>
      </w:r>
    </w:p>
    <w:p w:rsidR="003436FE" w:rsidRPr="0040070F" w:rsidRDefault="003436FE" w:rsidP="003436FE">
      <w:pPr>
        <w:spacing w:before="120" w:after="120"/>
        <w:jc w:val="both"/>
        <w:rPr>
          <w:sz w:val="22"/>
          <w:szCs w:val="22"/>
        </w:rPr>
      </w:pPr>
      <w:r w:rsidRPr="0040070F">
        <w:rPr>
          <w:sz w:val="22"/>
          <w:szCs w:val="22"/>
        </w:rPr>
        <w:t xml:space="preserve">The tender dossier should be clear enough to avoid candidates having to request additional information during the procedure. If the Contracting Authority, either on its own initiative or in response to a request from a </w:t>
      </w:r>
      <w:r w:rsidR="000C5425" w:rsidRPr="0040070F">
        <w:rPr>
          <w:sz w:val="22"/>
          <w:szCs w:val="22"/>
        </w:rPr>
        <w:t>tenderer</w:t>
      </w:r>
      <w:r w:rsidRPr="0040070F">
        <w:rPr>
          <w:sz w:val="22"/>
          <w:szCs w:val="22"/>
        </w:rPr>
        <w:t xml:space="preserve">, provides additional information on the tender dossier, it must send such information in writing to all </w:t>
      </w:r>
      <w:r w:rsidR="000C5425" w:rsidRPr="0040070F">
        <w:rPr>
          <w:sz w:val="22"/>
          <w:szCs w:val="22"/>
        </w:rPr>
        <w:t>the tenderers</w:t>
      </w:r>
      <w:r w:rsidRPr="0040070F">
        <w:rPr>
          <w:sz w:val="22"/>
          <w:szCs w:val="22"/>
        </w:rPr>
        <w:t xml:space="preserve"> at the same time.</w:t>
      </w:r>
    </w:p>
    <w:p w:rsidR="003436FE" w:rsidRPr="0040070F" w:rsidRDefault="003436FE" w:rsidP="003436FE">
      <w:pPr>
        <w:keepNext/>
        <w:spacing w:before="120" w:after="120"/>
        <w:jc w:val="both"/>
        <w:rPr>
          <w:sz w:val="22"/>
          <w:szCs w:val="22"/>
        </w:rPr>
      </w:pPr>
      <w:r w:rsidRPr="0040070F">
        <w:rPr>
          <w:sz w:val="22"/>
          <w:szCs w:val="22"/>
        </w:rPr>
        <w:t>Tenderers may submit questions in w</w:t>
      </w:r>
      <w:r w:rsidR="008B4DE1" w:rsidRPr="0040070F">
        <w:rPr>
          <w:sz w:val="22"/>
          <w:szCs w:val="22"/>
        </w:rPr>
        <w:t xml:space="preserve">riting to the following address by </w:t>
      </w:r>
      <w:r w:rsidR="00F326A2" w:rsidRPr="0040070F">
        <w:rPr>
          <w:sz w:val="22"/>
          <w:szCs w:val="22"/>
        </w:rPr>
        <w:t>5</w:t>
      </w:r>
      <w:r w:rsidR="00527CB9" w:rsidRPr="0040070F">
        <w:rPr>
          <w:sz w:val="22"/>
          <w:szCs w:val="22"/>
          <w:vertAlign w:val="superscript"/>
        </w:rPr>
        <w:t>th</w:t>
      </w:r>
      <w:r w:rsidR="008B4DE1" w:rsidRPr="0040070F">
        <w:rPr>
          <w:sz w:val="22"/>
          <w:szCs w:val="22"/>
        </w:rPr>
        <w:t xml:space="preserve"> </w:t>
      </w:r>
      <w:r w:rsidR="003D6976">
        <w:rPr>
          <w:sz w:val="22"/>
          <w:szCs w:val="22"/>
        </w:rPr>
        <w:t>March 2019</w:t>
      </w:r>
      <w:r w:rsidRPr="0040070F">
        <w:rPr>
          <w:sz w:val="22"/>
          <w:szCs w:val="22"/>
        </w:rPr>
        <w:t>, specifying the publication reference and the contract title:</w:t>
      </w:r>
    </w:p>
    <w:p w:rsidR="007B71C3" w:rsidRPr="0040070F" w:rsidRDefault="007B71C3" w:rsidP="007B71C3">
      <w:pPr>
        <w:ind w:left="567"/>
        <w:jc w:val="both"/>
        <w:outlineLvl w:val="0"/>
        <w:rPr>
          <w:b/>
          <w:sz w:val="22"/>
          <w:szCs w:val="22"/>
        </w:rPr>
      </w:pPr>
      <w:r w:rsidRPr="0040070F">
        <w:rPr>
          <w:b/>
          <w:sz w:val="22"/>
          <w:szCs w:val="22"/>
        </w:rPr>
        <w:t xml:space="preserve">Arbeiter-Samariter-Bund Deutschland e.V. (ASB) Country Office Serbia, </w:t>
      </w:r>
    </w:p>
    <w:p w:rsidR="007B71C3" w:rsidRPr="0040070F" w:rsidRDefault="007B71C3" w:rsidP="007B71C3">
      <w:pPr>
        <w:ind w:left="567"/>
        <w:jc w:val="both"/>
        <w:outlineLvl w:val="0"/>
        <w:rPr>
          <w:b/>
          <w:sz w:val="22"/>
          <w:szCs w:val="22"/>
        </w:rPr>
      </w:pPr>
      <w:r w:rsidRPr="0040070F">
        <w:rPr>
          <w:b/>
          <w:sz w:val="22"/>
          <w:szCs w:val="22"/>
        </w:rPr>
        <w:t>Antifašističke borbe 14/8</w:t>
      </w:r>
    </w:p>
    <w:p w:rsidR="007B71C3" w:rsidRPr="0040070F" w:rsidRDefault="007B71C3" w:rsidP="007B71C3">
      <w:pPr>
        <w:ind w:left="567"/>
        <w:jc w:val="both"/>
        <w:outlineLvl w:val="0"/>
        <w:rPr>
          <w:b/>
          <w:sz w:val="22"/>
          <w:szCs w:val="22"/>
        </w:rPr>
      </w:pPr>
      <w:r w:rsidRPr="0040070F">
        <w:rPr>
          <w:b/>
          <w:sz w:val="22"/>
          <w:szCs w:val="22"/>
        </w:rPr>
        <w:t>5th floor,</w:t>
      </w:r>
    </w:p>
    <w:p w:rsidR="007B71C3" w:rsidRPr="0040070F" w:rsidRDefault="007B71C3" w:rsidP="007B71C3">
      <w:pPr>
        <w:ind w:left="567"/>
        <w:jc w:val="both"/>
        <w:outlineLvl w:val="0"/>
        <w:rPr>
          <w:b/>
          <w:sz w:val="22"/>
          <w:szCs w:val="22"/>
        </w:rPr>
      </w:pPr>
      <w:r w:rsidRPr="0040070F">
        <w:rPr>
          <w:b/>
          <w:sz w:val="22"/>
          <w:szCs w:val="22"/>
        </w:rPr>
        <w:t>11070 New Belgrade, Serbia</w:t>
      </w:r>
    </w:p>
    <w:p w:rsidR="00947125" w:rsidRPr="0040070F" w:rsidRDefault="00947125" w:rsidP="007B71C3">
      <w:pPr>
        <w:ind w:left="567"/>
        <w:jc w:val="both"/>
        <w:outlineLvl w:val="0"/>
        <w:rPr>
          <w:b/>
          <w:sz w:val="22"/>
          <w:szCs w:val="22"/>
        </w:rPr>
      </w:pPr>
    </w:p>
    <w:p w:rsidR="00E2077A" w:rsidRPr="0040070F" w:rsidRDefault="00947125" w:rsidP="003D3D06">
      <w:pPr>
        <w:spacing w:after="120"/>
        <w:ind w:left="562"/>
        <w:jc w:val="both"/>
        <w:outlineLvl w:val="0"/>
        <w:rPr>
          <w:sz w:val="22"/>
          <w:szCs w:val="22"/>
        </w:rPr>
      </w:pPr>
      <w:r w:rsidRPr="0040070F">
        <w:rPr>
          <w:sz w:val="22"/>
          <w:szCs w:val="22"/>
        </w:rPr>
        <w:t>Opening hours of the ASB office from 09:00 till 17:00 CET</w:t>
      </w:r>
    </w:p>
    <w:p w:rsidR="00947125" w:rsidRPr="0040070F" w:rsidRDefault="00E2077A" w:rsidP="003D3D06">
      <w:pPr>
        <w:spacing w:after="120"/>
        <w:ind w:left="562"/>
        <w:jc w:val="both"/>
        <w:outlineLvl w:val="0"/>
        <w:rPr>
          <w:b/>
          <w:sz w:val="22"/>
          <w:szCs w:val="22"/>
        </w:rPr>
      </w:pPr>
      <w:proofErr w:type="gramStart"/>
      <w:r w:rsidRPr="0040070F">
        <w:rPr>
          <w:b/>
          <w:sz w:val="22"/>
          <w:szCs w:val="22"/>
        </w:rPr>
        <w:lastRenderedPageBreak/>
        <w:t>or</w:t>
      </w:r>
      <w:proofErr w:type="gramEnd"/>
    </w:p>
    <w:p w:rsidR="003436FE" w:rsidRPr="0040070F" w:rsidRDefault="00BB3B43" w:rsidP="00982E90">
      <w:pPr>
        <w:spacing w:before="60"/>
        <w:jc w:val="both"/>
        <w:rPr>
          <w:b/>
          <w:sz w:val="22"/>
          <w:szCs w:val="22"/>
        </w:rPr>
      </w:pPr>
      <w:r w:rsidRPr="0040070F">
        <w:rPr>
          <w:b/>
          <w:sz w:val="22"/>
          <w:szCs w:val="22"/>
        </w:rPr>
        <w:t xml:space="preserve">          </w:t>
      </w:r>
      <w:r w:rsidR="003E0637" w:rsidRPr="0040070F">
        <w:rPr>
          <w:b/>
          <w:sz w:val="22"/>
          <w:szCs w:val="22"/>
        </w:rPr>
        <w:t>E-mail</w:t>
      </w:r>
      <w:r w:rsidR="007B71C3" w:rsidRPr="0040070F">
        <w:rPr>
          <w:b/>
          <w:sz w:val="22"/>
          <w:szCs w:val="22"/>
        </w:rPr>
        <w:t xml:space="preserve">:    </w:t>
      </w:r>
      <w:hyperlink r:id="rId10" w:history="1">
        <w:r w:rsidR="003D6976" w:rsidRPr="00C54091">
          <w:rPr>
            <w:rStyle w:val="Hyperlink"/>
            <w:b/>
            <w:sz w:val="22"/>
            <w:szCs w:val="22"/>
          </w:rPr>
          <w:t>iris@iris-see.eu</w:t>
        </w:r>
      </w:hyperlink>
      <w:r w:rsidR="003D6976">
        <w:rPr>
          <w:b/>
          <w:sz w:val="22"/>
          <w:szCs w:val="22"/>
        </w:rPr>
        <w:t xml:space="preserve"> </w:t>
      </w:r>
      <w:hyperlink r:id="rId11" w:history="1"/>
      <w:r w:rsidR="003D3D06" w:rsidRPr="0040070F">
        <w:rPr>
          <w:b/>
          <w:sz w:val="22"/>
          <w:szCs w:val="22"/>
        </w:rPr>
        <w:t xml:space="preserve"> </w:t>
      </w:r>
    </w:p>
    <w:p w:rsidR="003436FE" w:rsidRPr="0040070F" w:rsidRDefault="003436FE" w:rsidP="004631FD">
      <w:pPr>
        <w:pStyle w:val="BodyText"/>
        <w:spacing w:before="240" w:after="120"/>
        <w:jc w:val="both"/>
        <w:rPr>
          <w:sz w:val="22"/>
          <w:szCs w:val="22"/>
        </w:rPr>
      </w:pPr>
      <w:r w:rsidRPr="0040070F">
        <w:rPr>
          <w:sz w:val="22"/>
          <w:szCs w:val="22"/>
        </w:rPr>
        <w:t>The Contracting Authority has no obligation to provide clarification after this date.</w:t>
      </w:r>
    </w:p>
    <w:p w:rsidR="003436FE" w:rsidRPr="0040070F" w:rsidRDefault="003436FE" w:rsidP="003436FE">
      <w:pPr>
        <w:pStyle w:val="BodyText"/>
        <w:spacing w:before="120" w:after="120"/>
        <w:jc w:val="both"/>
        <w:rPr>
          <w:sz w:val="22"/>
          <w:szCs w:val="22"/>
        </w:rPr>
      </w:pPr>
      <w:r w:rsidRPr="0040070F">
        <w:rPr>
          <w:sz w:val="22"/>
          <w:szCs w:val="22"/>
        </w:rPr>
        <w:t xml:space="preserve">Any tenderer seeking to arrange individual meetings with the Contracting Authority and/or the government of the </w:t>
      </w:r>
      <w:r w:rsidR="005D6CCF" w:rsidRPr="0040070F">
        <w:rPr>
          <w:sz w:val="22"/>
          <w:szCs w:val="22"/>
        </w:rPr>
        <w:t>partner</w:t>
      </w:r>
      <w:r w:rsidRPr="0040070F">
        <w:rPr>
          <w:sz w:val="22"/>
          <w:szCs w:val="22"/>
        </w:rPr>
        <w:t xml:space="preserve"> country and/or the European Commission concerning this contract during the tender period may be excluded from the tender procedure.</w:t>
      </w:r>
    </w:p>
    <w:p w:rsidR="000C5425" w:rsidRPr="0040070F" w:rsidRDefault="000C5425" w:rsidP="003436FE">
      <w:pPr>
        <w:pStyle w:val="BodyText"/>
        <w:spacing w:before="120" w:after="120"/>
        <w:jc w:val="both"/>
        <w:rPr>
          <w:sz w:val="22"/>
          <w:szCs w:val="22"/>
        </w:rPr>
      </w:pPr>
      <w:r w:rsidRPr="0040070F">
        <w:rPr>
          <w:sz w:val="22"/>
          <w:szCs w:val="22"/>
        </w:rPr>
        <w:t xml:space="preserve">No information meeting or site visit is foreseen. </w:t>
      </w:r>
    </w:p>
    <w:p w:rsidR="003436FE" w:rsidRPr="0040070F" w:rsidRDefault="003436FE" w:rsidP="006052F7">
      <w:pPr>
        <w:keepNext/>
        <w:numPr>
          <w:ilvl w:val="0"/>
          <w:numId w:val="4"/>
        </w:numPr>
        <w:spacing w:before="120" w:after="120"/>
        <w:jc w:val="both"/>
        <w:rPr>
          <w:b/>
          <w:sz w:val="22"/>
          <w:szCs w:val="22"/>
        </w:rPr>
      </w:pPr>
      <w:bookmarkStart w:id="3" w:name="_Ref499614274"/>
      <w:bookmarkStart w:id="4" w:name="_Ref499982672"/>
      <w:r w:rsidRPr="0040070F">
        <w:rPr>
          <w:b/>
          <w:sz w:val="22"/>
          <w:szCs w:val="22"/>
        </w:rPr>
        <w:t>Submission of tenders</w:t>
      </w:r>
      <w:bookmarkEnd w:id="3"/>
      <w:bookmarkEnd w:id="4"/>
    </w:p>
    <w:p w:rsidR="003436FE" w:rsidRPr="0040070F" w:rsidRDefault="003436FE" w:rsidP="003436FE">
      <w:pPr>
        <w:spacing w:before="120" w:after="120"/>
        <w:jc w:val="both"/>
        <w:rPr>
          <w:sz w:val="22"/>
          <w:szCs w:val="22"/>
        </w:rPr>
      </w:pPr>
      <w:r w:rsidRPr="0040070F">
        <w:rPr>
          <w:sz w:val="22"/>
          <w:szCs w:val="22"/>
        </w:rPr>
        <w:t xml:space="preserve">Tenders must be delivered </w:t>
      </w:r>
      <w:r w:rsidR="0014136C" w:rsidRPr="0040070F">
        <w:rPr>
          <w:sz w:val="22"/>
          <w:szCs w:val="22"/>
        </w:rPr>
        <w:t xml:space="preserve">to the Contracting Authority </w:t>
      </w:r>
      <w:r w:rsidRPr="0040070F">
        <w:rPr>
          <w:sz w:val="22"/>
          <w:szCs w:val="22"/>
        </w:rPr>
        <w:t xml:space="preserve">for </w:t>
      </w:r>
      <w:r w:rsidRPr="0040070F">
        <w:rPr>
          <w:b/>
          <w:sz w:val="22"/>
          <w:szCs w:val="22"/>
        </w:rPr>
        <w:t xml:space="preserve">receipt </w:t>
      </w:r>
      <w:r w:rsidRPr="0040070F">
        <w:rPr>
          <w:sz w:val="22"/>
          <w:szCs w:val="22"/>
        </w:rPr>
        <w:t xml:space="preserve">before </w:t>
      </w:r>
      <w:r w:rsidR="003D6976">
        <w:rPr>
          <w:b/>
          <w:sz w:val="22"/>
          <w:szCs w:val="22"/>
        </w:rPr>
        <w:t>18</w:t>
      </w:r>
      <w:r w:rsidR="00F326A2" w:rsidRPr="0040070F">
        <w:rPr>
          <w:b/>
          <w:sz w:val="22"/>
          <w:szCs w:val="22"/>
          <w:vertAlign w:val="superscript"/>
        </w:rPr>
        <w:t>th</w:t>
      </w:r>
      <w:r w:rsidR="00F326A2" w:rsidRPr="0040070F">
        <w:rPr>
          <w:b/>
          <w:sz w:val="22"/>
          <w:szCs w:val="22"/>
        </w:rPr>
        <w:t xml:space="preserve"> </w:t>
      </w:r>
      <w:r w:rsidR="003D6976">
        <w:rPr>
          <w:b/>
          <w:sz w:val="22"/>
          <w:szCs w:val="22"/>
        </w:rPr>
        <w:t>March 2019</w:t>
      </w:r>
      <w:r w:rsidR="00041449" w:rsidRPr="0040070F">
        <w:rPr>
          <w:b/>
          <w:sz w:val="22"/>
          <w:szCs w:val="22"/>
        </w:rPr>
        <w:t xml:space="preserve"> at</w:t>
      </w:r>
      <w:r w:rsidR="00EA18A1" w:rsidRPr="0040070F">
        <w:rPr>
          <w:b/>
          <w:sz w:val="22"/>
          <w:szCs w:val="22"/>
        </w:rPr>
        <w:t xml:space="preserve"> 1</w:t>
      </w:r>
      <w:r w:rsidR="003B363F" w:rsidRPr="0040070F">
        <w:rPr>
          <w:b/>
          <w:sz w:val="22"/>
          <w:szCs w:val="22"/>
        </w:rPr>
        <w:t>5</w:t>
      </w:r>
      <w:r w:rsidR="00041449" w:rsidRPr="0040070F">
        <w:rPr>
          <w:b/>
          <w:sz w:val="22"/>
          <w:szCs w:val="22"/>
        </w:rPr>
        <w:t>:00</w:t>
      </w:r>
      <w:r w:rsidRPr="0040070F">
        <w:rPr>
          <w:sz w:val="22"/>
          <w:szCs w:val="22"/>
        </w:rPr>
        <w:t>. They must include the requested documents in clause 4 above and be sent</w:t>
      </w:r>
      <w:r w:rsidR="0072647E" w:rsidRPr="0040070F">
        <w:rPr>
          <w:rStyle w:val="Strong"/>
          <w:b w:val="0"/>
          <w:sz w:val="22"/>
          <w:szCs w:val="22"/>
        </w:rPr>
        <w:t xml:space="preserve"> </w:t>
      </w:r>
      <w:r w:rsidR="0072647E" w:rsidRPr="0040070F">
        <w:rPr>
          <w:sz w:val="22"/>
          <w:szCs w:val="22"/>
        </w:rPr>
        <w:t xml:space="preserve">by </w:t>
      </w:r>
      <w:r w:rsidR="0072647E" w:rsidRPr="0040070F">
        <w:rPr>
          <w:rStyle w:val="Strong"/>
          <w:b w:val="0"/>
          <w:sz w:val="22"/>
          <w:szCs w:val="22"/>
        </w:rPr>
        <w:t>recorded delivery</w:t>
      </w:r>
      <w:r w:rsidR="0072647E" w:rsidRPr="0040070F">
        <w:rPr>
          <w:sz w:val="22"/>
          <w:szCs w:val="22"/>
        </w:rPr>
        <w:t xml:space="preserve"> (official postal service) </w:t>
      </w:r>
      <w:r w:rsidR="0072647E" w:rsidRPr="0040070F">
        <w:rPr>
          <w:rStyle w:val="Strong"/>
          <w:b w:val="0"/>
          <w:sz w:val="22"/>
          <w:szCs w:val="22"/>
        </w:rPr>
        <w:t>or hand delivered</w:t>
      </w:r>
      <w:r w:rsidR="0072647E" w:rsidRPr="0040070F">
        <w:rPr>
          <w:sz w:val="22"/>
          <w:szCs w:val="22"/>
        </w:rPr>
        <w:t xml:space="preserve"> (including courier services) </w:t>
      </w:r>
      <w:r w:rsidR="0072647E" w:rsidRPr="0040070F">
        <w:rPr>
          <w:rStyle w:val="Strong"/>
          <w:b w:val="0"/>
          <w:sz w:val="22"/>
          <w:szCs w:val="22"/>
        </w:rPr>
        <w:t>directly</w:t>
      </w:r>
      <w:r w:rsidR="0072647E" w:rsidRPr="0040070F">
        <w:rPr>
          <w:sz w:val="22"/>
          <w:szCs w:val="22"/>
        </w:rPr>
        <w:t xml:space="preserve"> to the Contracting Authority against a </w:t>
      </w:r>
      <w:r w:rsidR="0072647E" w:rsidRPr="0040070F">
        <w:rPr>
          <w:rStyle w:val="Strong"/>
          <w:b w:val="0"/>
          <w:sz w:val="22"/>
          <w:szCs w:val="22"/>
        </w:rPr>
        <w:t>signed and dated receipt</w:t>
      </w:r>
      <w:r w:rsidRPr="0040070F">
        <w:rPr>
          <w:sz w:val="22"/>
          <w:szCs w:val="22"/>
        </w:rPr>
        <w:t>:</w:t>
      </w:r>
    </w:p>
    <w:p w:rsidR="007B71C3" w:rsidRPr="0040070F" w:rsidRDefault="007B71C3" w:rsidP="007B71C3">
      <w:pPr>
        <w:ind w:left="1440"/>
        <w:jc w:val="both"/>
        <w:outlineLvl w:val="0"/>
        <w:rPr>
          <w:b/>
          <w:sz w:val="22"/>
          <w:szCs w:val="22"/>
        </w:rPr>
      </w:pPr>
      <w:r w:rsidRPr="0040070F">
        <w:rPr>
          <w:b/>
          <w:sz w:val="22"/>
          <w:szCs w:val="22"/>
        </w:rPr>
        <w:t xml:space="preserve">Arbeiter-Samariter-Bund Deutschland e.V. (ASB) Country Office Serbia, </w:t>
      </w:r>
    </w:p>
    <w:p w:rsidR="007B71C3" w:rsidRPr="0040070F" w:rsidRDefault="007B71C3" w:rsidP="007B71C3">
      <w:pPr>
        <w:ind w:left="1440"/>
        <w:jc w:val="both"/>
        <w:outlineLvl w:val="0"/>
        <w:rPr>
          <w:b/>
          <w:sz w:val="22"/>
          <w:szCs w:val="22"/>
        </w:rPr>
      </w:pPr>
      <w:r w:rsidRPr="0040070F">
        <w:rPr>
          <w:b/>
          <w:sz w:val="22"/>
          <w:szCs w:val="22"/>
        </w:rPr>
        <w:t>Antifašističke borbe 14/8</w:t>
      </w:r>
    </w:p>
    <w:p w:rsidR="007B71C3" w:rsidRPr="0040070F" w:rsidRDefault="007B71C3" w:rsidP="007B71C3">
      <w:pPr>
        <w:ind w:left="1440"/>
        <w:jc w:val="both"/>
        <w:outlineLvl w:val="0"/>
        <w:rPr>
          <w:b/>
          <w:sz w:val="22"/>
          <w:szCs w:val="22"/>
        </w:rPr>
      </w:pPr>
      <w:r w:rsidRPr="0040070F">
        <w:rPr>
          <w:b/>
          <w:sz w:val="22"/>
          <w:szCs w:val="22"/>
        </w:rPr>
        <w:t>5th floor,</w:t>
      </w:r>
    </w:p>
    <w:p w:rsidR="007B71C3" w:rsidRPr="0040070F" w:rsidRDefault="007B71C3" w:rsidP="007B71C3">
      <w:pPr>
        <w:ind w:left="1440"/>
        <w:jc w:val="both"/>
        <w:outlineLvl w:val="0"/>
        <w:rPr>
          <w:b/>
          <w:sz w:val="22"/>
          <w:szCs w:val="22"/>
        </w:rPr>
      </w:pPr>
      <w:r w:rsidRPr="0040070F">
        <w:rPr>
          <w:b/>
          <w:sz w:val="22"/>
          <w:szCs w:val="22"/>
        </w:rPr>
        <w:t>11070 New Belgrade, Serbia</w:t>
      </w:r>
    </w:p>
    <w:p w:rsidR="00947125" w:rsidRPr="0040070F" w:rsidRDefault="00947125" w:rsidP="007B71C3">
      <w:pPr>
        <w:ind w:left="1440"/>
        <w:jc w:val="both"/>
        <w:outlineLvl w:val="0"/>
        <w:rPr>
          <w:b/>
          <w:sz w:val="22"/>
          <w:szCs w:val="22"/>
        </w:rPr>
      </w:pPr>
    </w:p>
    <w:p w:rsidR="00947125" w:rsidRPr="0040070F" w:rsidRDefault="00947125" w:rsidP="00947125">
      <w:pPr>
        <w:ind w:left="567"/>
        <w:jc w:val="both"/>
        <w:outlineLvl w:val="0"/>
        <w:rPr>
          <w:sz w:val="22"/>
          <w:szCs w:val="22"/>
        </w:rPr>
      </w:pPr>
      <w:r w:rsidRPr="0040070F">
        <w:rPr>
          <w:sz w:val="22"/>
          <w:szCs w:val="22"/>
        </w:rPr>
        <w:t>Opening hours of the ASB office from 09:00 till 17:00 CET</w:t>
      </w:r>
    </w:p>
    <w:p w:rsidR="00947125" w:rsidRPr="0040070F" w:rsidRDefault="00947125" w:rsidP="007B71C3">
      <w:pPr>
        <w:ind w:left="1440"/>
        <w:jc w:val="both"/>
        <w:outlineLvl w:val="0"/>
        <w:rPr>
          <w:b/>
          <w:sz w:val="22"/>
          <w:szCs w:val="22"/>
        </w:rPr>
      </w:pPr>
    </w:p>
    <w:p w:rsidR="002E2B81" w:rsidRPr="0040070F" w:rsidRDefault="003436FE" w:rsidP="003436FE">
      <w:pPr>
        <w:spacing w:before="120" w:after="120"/>
        <w:jc w:val="both"/>
        <w:rPr>
          <w:rStyle w:val="Strong"/>
          <w:sz w:val="22"/>
          <w:szCs w:val="22"/>
        </w:rPr>
      </w:pPr>
      <w:r w:rsidRPr="0040070F">
        <w:rPr>
          <w:rStyle w:val="Strong"/>
          <w:sz w:val="22"/>
          <w:szCs w:val="22"/>
        </w:rPr>
        <w:t xml:space="preserve">Tenders submitted by any other means will not be considered. </w:t>
      </w:r>
    </w:p>
    <w:p w:rsidR="003436FE" w:rsidRPr="0040070F" w:rsidRDefault="003436FE" w:rsidP="003436FE">
      <w:pPr>
        <w:spacing w:before="120" w:after="120"/>
        <w:jc w:val="both"/>
        <w:rPr>
          <w:sz w:val="22"/>
          <w:szCs w:val="22"/>
        </w:rPr>
      </w:pPr>
      <w:r w:rsidRPr="0040070F">
        <w:rPr>
          <w:sz w:val="22"/>
          <w:szCs w:val="22"/>
        </w:rPr>
        <w:t>Tenders must be submitted using the double envelope system, i.e., in an outer parcel or envelope containing two separate, sealed envelopes, one bearing the words ‘</w:t>
      </w:r>
      <w:r w:rsidRPr="0040070F">
        <w:rPr>
          <w:b/>
          <w:sz w:val="22"/>
          <w:szCs w:val="22"/>
        </w:rPr>
        <w:t>Envelope A — Technical offer’</w:t>
      </w:r>
      <w:r w:rsidRPr="0040070F">
        <w:rPr>
          <w:sz w:val="22"/>
          <w:szCs w:val="22"/>
        </w:rPr>
        <w:t xml:space="preserve"> and the other ‘</w:t>
      </w:r>
      <w:r w:rsidRPr="0040070F">
        <w:rPr>
          <w:b/>
          <w:sz w:val="22"/>
          <w:szCs w:val="22"/>
        </w:rPr>
        <w:t>Envelope B — Financial offer’</w:t>
      </w:r>
      <w:r w:rsidRPr="0040070F">
        <w:rPr>
          <w:sz w:val="22"/>
          <w:szCs w:val="22"/>
        </w:rPr>
        <w:t xml:space="preserve">. All parts of the tender other than the financial offer must be submitted in Envelope A (i.e., including the Tender submission form, </w:t>
      </w:r>
      <w:r w:rsidR="009C0B1E" w:rsidRPr="0040070F">
        <w:rPr>
          <w:sz w:val="22"/>
          <w:szCs w:val="22"/>
        </w:rPr>
        <w:t>etc.</w:t>
      </w:r>
      <w:r w:rsidRPr="0040070F">
        <w:rPr>
          <w:sz w:val="22"/>
          <w:szCs w:val="22"/>
        </w:rPr>
        <w:t>).</w:t>
      </w:r>
    </w:p>
    <w:p w:rsidR="003436FE" w:rsidRPr="0040070F" w:rsidRDefault="003436FE" w:rsidP="003436FE">
      <w:pPr>
        <w:spacing w:before="120" w:after="120"/>
        <w:jc w:val="both"/>
        <w:rPr>
          <w:sz w:val="22"/>
          <w:szCs w:val="22"/>
        </w:rPr>
      </w:pPr>
      <w:r w:rsidRPr="0040070F">
        <w:rPr>
          <w:b/>
          <w:sz w:val="22"/>
          <w:szCs w:val="22"/>
        </w:rPr>
        <w:t>Any infringement of these rules (e.g., unsealed envelopes or references to price in the technical offer) will lead to rejection of the tender.</w:t>
      </w:r>
      <w:r w:rsidRPr="0040070F">
        <w:rPr>
          <w:sz w:val="22"/>
          <w:szCs w:val="22"/>
        </w:rPr>
        <w:t xml:space="preserve"> </w:t>
      </w:r>
    </w:p>
    <w:p w:rsidR="003436FE" w:rsidRPr="0040070F" w:rsidRDefault="003436FE" w:rsidP="003436FE">
      <w:pPr>
        <w:spacing w:before="120" w:after="120"/>
        <w:jc w:val="both"/>
        <w:rPr>
          <w:sz w:val="22"/>
          <w:szCs w:val="22"/>
        </w:rPr>
      </w:pPr>
      <w:r w:rsidRPr="0040070F">
        <w:rPr>
          <w:sz w:val="22"/>
          <w:szCs w:val="22"/>
        </w:rPr>
        <w:t xml:space="preserve">The outer envelope should provide the following information: </w:t>
      </w:r>
    </w:p>
    <w:p w:rsidR="003436FE" w:rsidRPr="0040070F" w:rsidRDefault="003436FE" w:rsidP="006052F7">
      <w:pPr>
        <w:numPr>
          <w:ilvl w:val="0"/>
          <w:numId w:val="3"/>
        </w:numPr>
        <w:tabs>
          <w:tab w:val="clear" w:pos="861"/>
        </w:tabs>
        <w:spacing w:before="120" w:after="120"/>
        <w:ind w:left="426" w:hanging="284"/>
        <w:rPr>
          <w:sz w:val="22"/>
          <w:szCs w:val="22"/>
        </w:rPr>
      </w:pPr>
      <w:r w:rsidRPr="0040070F">
        <w:rPr>
          <w:sz w:val="22"/>
          <w:szCs w:val="22"/>
        </w:rPr>
        <w:t xml:space="preserve">the address for submitting tenders indicated above; </w:t>
      </w:r>
    </w:p>
    <w:p w:rsidR="003436FE" w:rsidRPr="0040070F" w:rsidRDefault="003436FE" w:rsidP="006052F7">
      <w:pPr>
        <w:numPr>
          <w:ilvl w:val="0"/>
          <w:numId w:val="3"/>
        </w:numPr>
        <w:tabs>
          <w:tab w:val="clear" w:pos="861"/>
          <w:tab w:val="num" w:pos="567"/>
        </w:tabs>
        <w:spacing w:before="120" w:after="120"/>
        <w:ind w:left="567"/>
        <w:rPr>
          <w:sz w:val="22"/>
          <w:szCs w:val="22"/>
        </w:rPr>
      </w:pPr>
      <w:r w:rsidRPr="0040070F">
        <w:rPr>
          <w:sz w:val="22"/>
          <w:szCs w:val="22"/>
        </w:rPr>
        <w:t xml:space="preserve">the reference code of the tender procedure </w:t>
      </w:r>
      <w:r w:rsidR="00DD3711">
        <w:rPr>
          <w:rStyle w:val="Emphasis"/>
          <w:b/>
          <w:i w:val="0"/>
          <w:sz w:val="22"/>
          <w:szCs w:val="22"/>
        </w:rPr>
        <w:t>PDT SRB1801–012</w:t>
      </w:r>
    </w:p>
    <w:p w:rsidR="003436FE" w:rsidRPr="0040070F" w:rsidRDefault="003436FE" w:rsidP="006052F7">
      <w:pPr>
        <w:numPr>
          <w:ilvl w:val="0"/>
          <w:numId w:val="3"/>
        </w:numPr>
        <w:tabs>
          <w:tab w:val="clear" w:pos="861"/>
        </w:tabs>
        <w:spacing w:before="120" w:after="120"/>
        <w:ind w:left="426" w:hanging="284"/>
        <w:rPr>
          <w:sz w:val="22"/>
          <w:szCs w:val="22"/>
        </w:rPr>
      </w:pPr>
      <w:r w:rsidRPr="0040070F">
        <w:rPr>
          <w:sz w:val="22"/>
          <w:szCs w:val="22"/>
        </w:rPr>
        <w:t xml:space="preserve">the words ‘Not to be opened before the tender-opening session’ and </w:t>
      </w:r>
      <w:r w:rsidR="00600F15" w:rsidRPr="0040070F">
        <w:rPr>
          <w:sz w:val="22"/>
          <w:szCs w:val="22"/>
        </w:rPr>
        <w:t>‘Ne otvarati pre sesije otvaranja ponuda’</w:t>
      </w:r>
      <w:r w:rsidRPr="0040070F">
        <w:rPr>
          <w:sz w:val="22"/>
          <w:szCs w:val="22"/>
        </w:rPr>
        <w:t>;</w:t>
      </w:r>
    </w:p>
    <w:p w:rsidR="003436FE" w:rsidRPr="0040070F" w:rsidRDefault="003436FE" w:rsidP="006052F7">
      <w:pPr>
        <w:numPr>
          <w:ilvl w:val="0"/>
          <w:numId w:val="3"/>
        </w:numPr>
        <w:tabs>
          <w:tab w:val="clear" w:pos="861"/>
        </w:tabs>
        <w:spacing w:before="120" w:after="120"/>
        <w:ind w:left="426" w:hanging="284"/>
        <w:rPr>
          <w:sz w:val="22"/>
          <w:szCs w:val="22"/>
        </w:rPr>
      </w:pPr>
      <w:proofErr w:type="gramStart"/>
      <w:r w:rsidRPr="0040070F">
        <w:rPr>
          <w:sz w:val="22"/>
          <w:szCs w:val="22"/>
        </w:rPr>
        <w:t>the</w:t>
      </w:r>
      <w:proofErr w:type="gramEnd"/>
      <w:r w:rsidRPr="0040070F">
        <w:rPr>
          <w:sz w:val="22"/>
          <w:szCs w:val="22"/>
        </w:rPr>
        <w:t xml:space="preserve"> name of the tenderer.</w:t>
      </w:r>
    </w:p>
    <w:p w:rsidR="003436FE" w:rsidRPr="0040070F" w:rsidRDefault="003436FE" w:rsidP="003436FE">
      <w:pPr>
        <w:spacing w:before="120" w:after="120"/>
        <w:jc w:val="both"/>
        <w:rPr>
          <w:sz w:val="22"/>
          <w:szCs w:val="22"/>
        </w:rPr>
      </w:pPr>
      <w:r w:rsidRPr="0040070F">
        <w:rPr>
          <w:sz w:val="22"/>
          <w:szCs w:val="22"/>
        </w:rPr>
        <w:t>The pages of the Technical and Financial offers must be numbered.</w:t>
      </w:r>
    </w:p>
    <w:p w:rsidR="003436FE" w:rsidRPr="0040070F" w:rsidRDefault="003436FE" w:rsidP="006052F7">
      <w:pPr>
        <w:keepNext/>
        <w:numPr>
          <w:ilvl w:val="0"/>
          <w:numId w:val="4"/>
        </w:numPr>
        <w:spacing w:before="120" w:after="120"/>
        <w:jc w:val="both"/>
        <w:rPr>
          <w:b/>
          <w:sz w:val="22"/>
          <w:szCs w:val="22"/>
        </w:rPr>
      </w:pPr>
      <w:r w:rsidRPr="0040070F">
        <w:rPr>
          <w:b/>
          <w:sz w:val="22"/>
          <w:szCs w:val="22"/>
        </w:rPr>
        <w:t>Amending or withdrawing tenders</w:t>
      </w:r>
    </w:p>
    <w:p w:rsidR="003436FE" w:rsidRPr="0040070F" w:rsidRDefault="003436FE" w:rsidP="003436FE">
      <w:pPr>
        <w:spacing w:before="120" w:after="120"/>
        <w:jc w:val="both"/>
        <w:rPr>
          <w:sz w:val="22"/>
          <w:szCs w:val="22"/>
        </w:rPr>
      </w:pPr>
      <w:r w:rsidRPr="0040070F">
        <w:rPr>
          <w:sz w:val="22"/>
          <w:szCs w:val="22"/>
        </w:rPr>
        <w:t>Tenderers may amend or withdraw their tenders by written notification prior to the deadline for submitting tenders. Tenders may not be amended after this deadline.</w:t>
      </w:r>
    </w:p>
    <w:p w:rsidR="003436FE" w:rsidRPr="0040070F" w:rsidRDefault="003436FE" w:rsidP="003436FE">
      <w:pPr>
        <w:spacing w:before="120" w:after="120"/>
        <w:jc w:val="both"/>
        <w:rPr>
          <w:sz w:val="22"/>
          <w:szCs w:val="22"/>
        </w:rPr>
      </w:pPr>
      <w:r w:rsidRPr="0040070F">
        <w:rPr>
          <w:sz w:val="22"/>
          <w:szCs w:val="22"/>
        </w:rPr>
        <w:t xml:space="preserve">Any such notification of amendment or withdrawal must be prepared and submitted in accordance with Clause </w:t>
      </w:r>
      <w:r w:rsidR="001F0408">
        <w:fldChar w:fldCharType="begin"/>
      </w:r>
      <w:r w:rsidR="001F0408">
        <w:instrText xml:space="preserve"> REF _Ref499982672 \r \h  \* MERGEFORMAT </w:instrText>
      </w:r>
      <w:r w:rsidR="001F0408">
        <w:fldChar w:fldCharType="separate"/>
      </w:r>
      <w:r w:rsidR="0051218E" w:rsidRPr="0040070F">
        <w:t>8</w:t>
      </w:r>
      <w:r w:rsidR="001F0408">
        <w:fldChar w:fldCharType="end"/>
      </w:r>
      <w:r w:rsidRPr="0040070F">
        <w:rPr>
          <w:sz w:val="22"/>
          <w:szCs w:val="22"/>
        </w:rPr>
        <w:t>. The outer envelope (and the relevant inner envelope) must be marked ‘Amendment’ or ‘Withdrawal’ as appropriate.</w:t>
      </w:r>
    </w:p>
    <w:p w:rsidR="003436FE" w:rsidRPr="0040070F" w:rsidRDefault="003436FE" w:rsidP="006052F7">
      <w:pPr>
        <w:keepNext/>
        <w:keepLines/>
        <w:numPr>
          <w:ilvl w:val="0"/>
          <w:numId w:val="4"/>
        </w:numPr>
        <w:spacing w:before="120" w:after="120"/>
        <w:jc w:val="both"/>
        <w:rPr>
          <w:b/>
          <w:sz w:val="22"/>
          <w:szCs w:val="22"/>
        </w:rPr>
      </w:pPr>
      <w:r w:rsidRPr="0040070F">
        <w:rPr>
          <w:b/>
          <w:sz w:val="22"/>
          <w:szCs w:val="22"/>
        </w:rPr>
        <w:t>Costs for preparing tenders</w:t>
      </w:r>
    </w:p>
    <w:p w:rsidR="003436FE" w:rsidRPr="0040070F" w:rsidRDefault="003436FE" w:rsidP="003436FE">
      <w:pPr>
        <w:keepNext/>
        <w:keepLines/>
        <w:spacing w:before="120" w:after="120"/>
        <w:jc w:val="both"/>
        <w:rPr>
          <w:sz w:val="22"/>
          <w:szCs w:val="22"/>
        </w:rPr>
      </w:pPr>
      <w:r w:rsidRPr="0040070F">
        <w:rPr>
          <w:sz w:val="22"/>
          <w:szCs w:val="22"/>
        </w:rPr>
        <w:t>No costs incurred by the tenderer in preparing and submitting the tender are reimbursable. All such costs must be borne by the tenderer, including the cost of interviewing proposed experts.</w:t>
      </w:r>
    </w:p>
    <w:p w:rsidR="003436FE" w:rsidRPr="0040070F" w:rsidRDefault="003436FE" w:rsidP="006052F7">
      <w:pPr>
        <w:numPr>
          <w:ilvl w:val="0"/>
          <w:numId w:val="4"/>
        </w:numPr>
        <w:spacing w:before="120" w:after="120"/>
        <w:jc w:val="both"/>
        <w:rPr>
          <w:b/>
          <w:sz w:val="22"/>
          <w:szCs w:val="22"/>
        </w:rPr>
      </w:pPr>
      <w:r w:rsidRPr="0040070F">
        <w:rPr>
          <w:b/>
          <w:sz w:val="22"/>
          <w:szCs w:val="22"/>
        </w:rPr>
        <w:t>Ownership of tenders</w:t>
      </w:r>
    </w:p>
    <w:p w:rsidR="003436FE" w:rsidRPr="0040070F" w:rsidRDefault="003436FE" w:rsidP="003436FE">
      <w:pPr>
        <w:spacing w:before="120" w:after="120"/>
        <w:jc w:val="both"/>
        <w:rPr>
          <w:sz w:val="22"/>
          <w:szCs w:val="22"/>
        </w:rPr>
      </w:pPr>
      <w:r w:rsidRPr="0040070F">
        <w:rPr>
          <w:sz w:val="22"/>
          <w:szCs w:val="22"/>
        </w:rPr>
        <w:lastRenderedPageBreak/>
        <w:t>The Contracting Authority retains ownership of all tenders received under this tendering procedure. Consequently, tenderers do not have the right to have their tenders returned to them.</w:t>
      </w:r>
    </w:p>
    <w:p w:rsidR="003436FE" w:rsidRPr="0040070F" w:rsidRDefault="003436FE" w:rsidP="006052F7">
      <w:pPr>
        <w:numPr>
          <w:ilvl w:val="0"/>
          <w:numId w:val="4"/>
        </w:numPr>
        <w:spacing w:before="120" w:after="120"/>
        <w:jc w:val="both"/>
        <w:rPr>
          <w:b/>
          <w:sz w:val="22"/>
          <w:szCs w:val="22"/>
        </w:rPr>
      </w:pPr>
      <w:r w:rsidRPr="0040070F">
        <w:rPr>
          <w:b/>
          <w:sz w:val="22"/>
          <w:szCs w:val="22"/>
        </w:rPr>
        <w:t>Evaluation of tenders</w:t>
      </w:r>
    </w:p>
    <w:p w:rsidR="003436FE" w:rsidRPr="0040070F" w:rsidRDefault="003436FE" w:rsidP="003436FE">
      <w:pPr>
        <w:spacing w:before="120" w:after="120"/>
        <w:jc w:val="both"/>
        <w:rPr>
          <w:b/>
          <w:sz w:val="22"/>
          <w:szCs w:val="22"/>
        </w:rPr>
      </w:pPr>
      <w:r w:rsidRPr="0040070F">
        <w:rPr>
          <w:b/>
          <w:sz w:val="22"/>
          <w:szCs w:val="22"/>
        </w:rPr>
        <w:t>12.1</w:t>
      </w:r>
      <w:r w:rsidR="00010683" w:rsidRPr="0040070F">
        <w:rPr>
          <w:b/>
          <w:sz w:val="22"/>
          <w:szCs w:val="22"/>
        </w:rPr>
        <w:t>.</w:t>
      </w:r>
      <w:r w:rsidR="00010683" w:rsidRPr="0040070F">
        <w:rPr>
          <w:b/>
          <w:sz w:val="22"/>
          <w:szCs w:val="22"/>
        </w:rPr>
        <w:tab/>
      </w:r>
      <w:r w:rsidRPr="0040070F">
        <w:rPr>
          <w:b/>
          <w:sz w:val="22"/>
          <w:szCs w:val="22"/>
        </w:rPr>
        <w:t>Evaluation of technical offers</w:t>
      </w:r>
    </w:p>
    <w:p w:rsidR="003436FE" w:rsidRPr="0040070F" w:rsidRDefault="003436FE" w:rsidP="00BE5167">
      <w:pPr>
        <w:spacing w:before="120" w:after="120"/>
        <w:jc w:val="both"/>
        <w:rPr>
          <w:sz w:val="22"/>
          <w:szCs w:val="22"/>
        </w:rPr>
      </w:pPr>
      <w:r w:rsidRPr="0040070F">
        <w:rPr>
          <w:sz w:val="22"/>
          <w:szCs w:val="22"/>
        </w:rPr>
        <w:t>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Terms of Reference.</w:t>
      </w:r>
    </w:p>
    <w:p w:rsidR="003436FE" w:rsidRPr="0040070F" w:rsidRDefault="003436FE" w:rsidP="003436FE">
      <w:pPr>
        <w:pStyle w:val="BodyText"/>
        <w:spacing w:before="120" w:after="120"/>
        <w:rPr>
          <w:sz w:val="22"/>
          <w:szCs w:val="22"/>
        </w:rPr>
      </w:pPr>
      <w:r w:rsidRPr="0040070F">
        <w:rPr>
          <w:sz w:val="22"/>
          <w:szCs w:val="22"/>
        </w:rPr>
        <w:t>The evaluation of the technical offers will follow the procedures set out in Section 3.3.10 of the Practical Guide (available on the internet at</w:t>
      </w:r>
      <w:r w:rsidR="003F05B3">
        <w:rPr>
          <w:sz w:val="22"/>
          <w:szCs w:val="22"/>
        </w:rPr>
        <w:t xml:space="preserve"> </w:t>
      </w:r>
      <w:hyperlink r:id="rId12" w:history="1">
        <w:r w:rsidR="00996707" w:rsidRPr="0040070F">
          <w:rPr>
            <w:rStyle w:val="Hyperlink"/>
            <w:sz w:val="22"/>
            <w:szCs w:val="22"/>
          </w:rPr>
          <w:t>http://ec.europa.eu/europeaid/prag/document.do</w:t>
        </w:r>
      </w:hyperlink>
      <w:r w:rsidRPr="0040070F">
        <w:rPr>
          <w:sz w:val="22"/>
          <w:szCs w:val="22"/>
        </w:rPr>
        <w:t>).</w:t>
      </w:r>
    </w:p>
    <w:p w:rsidR="003436FE" w:rsidRPr="0040070F" w:rsidRDefault="003436FE" w:rsidP="003436FE">
      <w:pPr>
        <w:spacing w:before="120" w:after="120"/>
        <w:jc w:val="both"/>
        <w:rPr>
          <w:b/>
          <w:iCs/>
          <w:sz w:val="22"/>
          <w:szCs w:val="22"/>
        </w:rPr>
      </w:pPr>
      <w:r w:rsidRPr="0040070F">
        <w:rPr>
          <w:b/>
          <w:iCs/>
          <w:sz w:val="22"/>
          <w:szCs w:val="22"/>
        </w:rPr>
        <w:t>12.1.1</w:t>
      </w:r>
      <w:r w:rsidR="00010683" w:rsidRPr="0040070F">
        <w:rPr>
          <w:b/>
          <w:iCs/>
          <w:sz w:val="22"/>
          <w:szCs w:val="22"/>
        </w:rPr>
        <w:t>.</w:t>
      </w:r>
      <w:r w:rsidR="00010683" w:rsidRPr="0040070F">
        <w:rPr>
          <w:b/>
          <w:iCs/>
          <w:sz w:val="22"/>
          <w:szCs w:val="22"/>
        </w:rPr>
        <w:tab/>
      </w:r>
      <w:r w:rsidRPr="0040070F">
        <w:rPr>
          <w:b/>
          <w:iCs/>
          <w:sz w:val="22"/>
          <w:szCs w:val="22"/>
        </w:rPr>
        <w:t>Interviews</w:t>
      </w:r>
      <w:r w:rsidR="00D32C37" w:rsidRPr="0040070F">
        <w:rPr>
          <w:b/>
          <w:iCs/>
          <w:sz w:val="22"/>
          <w:szCs w:val="22"/>
        </w:rPr>
        <w:t xml:space="preserve"> </w:t>
      </w:r>
    </w:p>
    <w:p w:rsidR="008A7B5A" w:rsidRPr="0040070F" w:rsidRDefault="008A7B5A" w:rsidP="008A7B5A">
      <w:pPr>
        <w:spacing w:before="120" w:after="120"/>
        <w:jc w:val="both"/>
        <w:rPr>
          <w:sz w:val="22"/>
          <w:szCs w:val="22"/>
        </w:rPr>
      </w:pPr>
      <w:r w:rsidRPr="0040070F">
        <w:rPr>
          <w:sz w:val="22"/>
          <w:szCs w:val="22"/>
        </w:rPr>
        <w:t>Not applicable.</w:t>
      </w:r>
    </w:p>
    <w:p w:rsidR="003436FE" w:rsidRPr="0040070F" w:rsidRDefault="003436FE" w:rsidP="003436FE">
      <w:pPr>
        <w:keepNext/>
        <w:spacing w:before="120" w:after="120"/>
        <w:jc w:val="both"/>
        <w:rPr>
          <w:b/>
          <w:sz w:val="22"/>
          <w:szCs w:val="22"/>
        </w:rPr>
      </w:pPr>
      <w:r w:rsidRPr="0040070F">
        <w:rPr>
          <w:b/>
          <w:sz w:val="22"/>
          <w:szCs w:val="22"/>
        </w:rPr>
        <w:t>12.2</w:t>
      </w:r>
      <w:r w:rsidR="00010683" w:rsidRPr="0040070F">
        <w:rPr>
          <w:b/>
          <w:sz w:val="22"/>
          <w:szCs w:val="22"/>
        </w:rPr>
        <w:t>.</w:t>
      </w:r>
      <w:r w:rsidR="00010683" w:rsidRPr="0040070F">
        <w:rPr>
          <w:b/>
          <w:sz w:val="22"/>
          <w:szCs w:val="22"/>
        </w:rPr>
        <w:tab/>
      </w:r>
      <w:r w:rsidRPr="0040070F">
        <w:rPr>
          <w:b/>
          <w:sz w:val="22"/>
          <w:szCs w:val="22"/>
        </w:rPr>
        <w:t>Evaluation of financial offers</w:t>
      </w:r>
    </w:p>
    <w:p w:rsidR="003436FE" w:rsidRPr="0040070F" w:rsidRDefault="003436FE" w:rsidP="003436FE">
      <w:pPr>
        <w:spacing w:before="120" w:after="120"/>
        <w:jc w:val="both"/>
        <w:rPr>
          <w:sz w:val="22"/>
          <w:szCs w:val="22"/>
        </w:rPr>
      </w:pPr>
      <w:r w:rsidRPr="0040070F">
        <w:rPr>
          <w:sz w:val="22"/>
          <w:szCs w:val="22"/>
        </w:rPr>
        <w:t>Upon completion of the technical evaluation, the envelopes containing the financial offers for tenders that were not eliminated during the technical evaluation will be opened (i.e. those with an average score of 80 points or more). Tenders exceeding the maximum budget available for the contract will be eliminated.</w:t>
      </w:r>
    </w:p>
    <w:p w:rsidR="003436FE" w:rsidRPr="0040070F" w:rsidRDefault="003436FE" w:rsidP="003436FE">
      <w:pPr>
        <w:keepNext/>
        <w:spacing w:before="120" w:after="120"/>
        <w:jc w:val="both"/>
        <w:rPr>
          <w:b/>
          <w:sz w:val="22"/>
          <w:szCs w:val="22"/>
          <w:u w:val="single"/>
        </w:rPr>
      </w:pPr>
      <w:r w:rsidRPr="0040070F">
        <w:rPr>
          <w:b/>
          <w:sz w:val="22"/>
          <w:szCs w:val="22"/>
        </w:rPr>
        <w:t>12.3</w:t>
      </w:r>
      <w:r w:rsidR="00010683" w:rsidRPr="0040070F">
        <w:rPr>
          <w:b/>
          <w:sz w:val="22"/>
          <w:szCs w:val="22"/>
        </w:rPr>
        <w:t>.</w:t>
      </w:r>
      <w:r w:rsidR="00010683" w:rsidRPr="0040070F">
        <w:rPr>
          <w:b/>
          <w:sz w:val="22"/>
          <w:szCs w:val="22"/>
        </w:rPr>
        <w:tab/>
      </w:r>
      <w:r w:rsidRPr="0040070F">
        <w:rPr>
          <w:b/>
          <w:sz w:val="22"/>
          <w:szCs w:val="22"/>
        </w:rPr>
        <w:t>Choice of selected tenderer</w:t>
      </w:r>
      <w:r w:rsidRPr="0040070F">
        <w:rPr>
          <w:b/>
          <w:sz w:val="22"/>
          <w:szCs w:val="22"/>
          <w:u w:val="single"/>
        </w:rPr>
        <w:t xml:space="preserve"> </w:t>
      </w:r>
    </w:p>
    <w:p w:rsidR="003436FE" w:rsidRPr="0040070F" w:rsidRDefault="003436FE" w:rsidP="003436FE">
      <w:pPr>
        <w:spacing w:before="120" w:after="120"/>
        <w:jc w:val="both"/>
        <w:rPr>
          <w:sz w:val="22"/>
          <w:szCs w:val="22"/>
        </w:rPr>
      </w:pPr>
      <w:r w:rsidRPr="0040070F">
        <w:rPr>
          <w:sz w:val="22"/>
          <w:szCs w:val="22"/>
        </w:rPr>
        <w:t>The best value for money is established by weighing technical quality against price on an 80/20 basis.</w:t>
      </w:r>
    </w:p>
    <w:p w:rsidR="003436FE" w:rsidRPr="0040070F" w:rsidRDefault="003436FE" w:rsidP="003436FE">
      <w:pPr>
        <w:keepNext/>
        <w:spacing w:before="120" w:after="120"/>
        <w:jc w:val="both"/>
        <w:rPr>
          <w:b/>
          <w:sz w:val="22"/>
          <w:szCs w:val="22"/>
        </w:rPr>
      </w:pPr>
      <w:r w:rsidRPr="0040070F">
        <w:rPr>
          <w:b/>
          <w:sz w:val="22"/>
          <w:szCs w:val="22"/>
        </w:rPr>
        <w:t>12.4</w:t>
      </w:r>
      <w:r w:rsidR="00010683" w:rsidRPr="0040070F">
        <w:rPr>
          <w:b/>
          <w:sz w:val="22"/>
          <w:szCs w:val="22"/>
        </w:rPr>
        <w:t>.</w:t>
      </w:r>
      <w:r w:rsidR="00010683" w:rsidRPr="0040070F">
        <w:rPr>
          <w:b/>
          <w:sz w:val="22"/>
          <w:szCs w:val="22"/>
        </w:rPr>
        <w:tab/>
      </w:r>
      <w:r w:rsidRPr="0040070F">
        <w:rPr>
          <w:b/>
          <w:sz w:val="22"/>
          <w:szCs w:val="22"/>
        </w:rPr>
        <w:t>Confidentiality</w:t>
      </w:r>
    </w:p>
    <w:p w:rsidR="003436FE" w:rsidRPr="0040070F" w:rsidRDefault="003436FE" w:rsidP="003436FE">
      <w:pPr>
        <w:spacing w:before="120" w:after="120"/>
        <w:jc w:val="both"/>
        <w:rPr>
          <w:sz w:val="22"/>
          <w:szCs w:val="22"/>
        </w:rPr>
      </w:pPr>
      <w:r w:rsidRPr="0040070F">
        <w:rPr>
          <w:sz w:val="22"/>
          <w:szCs w:val="22"/>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3436FE" w:rsidRPr="0040070F" w:rsidRDefault="003436FE" w:rsidP="006052F7">
      <w:pPr>
        <w:keepNext/>
        <w:numPr>
          <w:ilvl w:val="0"/>
          <w:numId w:val="4"/>
        </w:numPr>
        <w:spacing w:before="120" w:after="120"/>
        <w:jc w:val="both"/>
        <w:rPr>
          <w:b/>
          <w:sz w:val="22"/>
          <w:szCs w:val="22"/>
        </w:rPr>
      </w:pPr>
      <w:r w:rsidRPr="0040070F">
        <w:rPr>
          <w:b/>
          <w:sz w:val="22"/>
          <w:szCs w:val="22"/>
        </w:rPr>
        <w:t>Ethics clauses / Corruptive practices</w:t>
      </w:r>
    </w:p>
    <w:p w:rsidR="003436FE" w:rsidRPr="0040070F" w:rsidRDefault="003436FE" w:rsidP="003436FE">
      <w:pPr>
        <w:spacing w:before="120" w:after="120"/>
        <w:ind w:left="567" w:hanging="567"/>
        <w:jc w:val="both"/>
        <w:rPr>
          <w:sz w:val="22"/>
          <w:szCs w:val="22"/>
        </w:rPr>
      </w:pPr>
      <w:r w:rsidRPr="0040070F">
        <w:rPr>
          <w:sz w:val="22"/>
          <w:szCs w:val="22"/>
        </w:rPr>
        <w:t>a)</w:t>
      </w:r>
      <w:r w:rsidRPr="0040070F">
        <w:rPr>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3436FE" w:rsidRPr="0040070F" w:rsidRDefault="003436FE" w:rsidP="003436FE">
      <w:pPr>
        <w:spacing w:before="120" w:after="120"/>
        <w:ind w:left="567" w:hanging="567"/>
        <w:jc w:val="both"/>
        <w:rPr>
          <w:sz w:val="22"/>
          <w:szCs w:val="22"/>
        </w:rPr>
      </w:pPr>
      <w:r w:rsidRPr="0040070F">
        <w:rPr>
          <w:sz w:val="22"/>
          <w:szCs w:val="22"/>
        </w:rPr>
        <w:t>b)</w:t>
      </w:r>
      <w:r w:rsidRPr="0040070F">
        <w:rPr>
          <w:sz w:val="22"/>
          <w:szCs w:val="22"/>
        </w:rPr>
        <w:tab/>
        <w:t>The tenderer must not be affected by any conflict of interest and must have no equivalent relation in that respect with other tenderers or parties involved in the project.</w:t>
      </w:r>
    </w:p>
    <w:p w:rsidR="003436FE" w:rsidRPr="0040070F" w:rsidRDefault="003436FE" w:rsidP="003436FE">
      <w:pPr>
        <w:spacing w:before="120" w:after="120"/>
        <w:ind w:left="567" w:hanging="567"/>
        <w:jc w:val="both"/>
        <w:rPr>
          <w:sz w:val="22"/>
          <w:szCs w:val="22"/>
        </w:rPr>
      </w:pPr>
      <w:r w:rsidRPr="0040070F">
        <w:rPr>
          <w:sz w:val="22"/>
          <w:szCs w:val="22"/>
        </w:rPr>
        <w:t>c)</w:t>
      </w:r>
      <w:r w:rsidRPr="0040070F">
        <w:rPr>
          <w:sz w:val="22"/>
          <w:szCs w:val="22"/>
        </w:rPr>
        <w:tab/>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3436FE" w:rsidRPr="0040070F" w:rsidRDefault="003436FE" w:rsidP="003436FE">
      <w:pPr>
        <w:spacing w:before="120" w:after="120"/>
        <w:ind w:left="567" w:hanging="567"/>
        <w:jc w:val="both"/>
        <w:rPr>
          <w:sz w:val="22"/>
          <w:szCs w:val="22"/>
        </w:rPr>
      </w:pPr>
      <w:r w:rsidRPr="0040070F">
        <w:rPr>
          <w:sz w:val="22"/>
          <w:szCs w:val="22"/>
        </w:rPr>
        <w:t>d)</w:t>
      </w:r>
      <w:r w:rsidRPr="0040070F">
        <w:rPr>
          <w:sz w:val="22"/>
          <w:szCs w:val="22"/>
        </w:rPr>
        <w:tab/>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w:t>
      </w:r>
      <w:r w:rsidRPr="0040070F">
        <w:rPr>
          <w:sz w:val="22"/>
          <w:szCs w:val="22"/>
        </w:rPr>
        <w:lastRenderedPageBreak/>
        <w:t>return for any actual and legitimate service, commissions remitted to a tax haven, commissions paid to a payee who is not clearly identified or commissions paid to a company which has every appearance of being a front company.</w:t>
      </w:r>
    </w:p>
    <w:p w:rsidR="003436FE" w:rsidRPr="0040070F" w:rsidRDefault="003436FE" w:rsidP="003436FE">
      <w:pPr>
        <w:spacing w:before="120" w:after="120"/>
        <w:ind w:left="567"/>
        <w:rPr>
          <w:sz w:val="22"/>
          <w:szCs w:val="22"/>
        </w:rPr>
      </w:pPr>
      <w:r w:rsidRPr="0040070F">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3436FE" w:rsidRPr="0040070F" w:rsidRDefault="003436FE" w:rsidP="003436FE">
      <w:pPr>
        <w:spacing w:before="120" w:after="120"/>
        <w:ind w:left="567" w:hanging="567"/>
        <w:jc w:val="both"/>
        <w:rPr>
          <w:sz w:val="22"/>
          <w:szCs w:val="22"/>
        </w:rPr>
      </w:pPr>
      <w:r w:rsidRPr="0040070F">
        <w:rPr>
          <w:sz w:val="22"/>
          <w:szCs w:val="22"/>
        </w:rPr>
        <w:t>e)</w:t>
      </w:r>
      <w:r w:rsidRPr="0040070F">
        <w:rPr>
          <w:sz w:val="22"/>
          <w:szCs w:val="22"/>
        </w:rPr>
        <w:tab/>
        <w:t>The Contracting Authority reserves the right to suspend or cancel the procedure, where the award procedure proves to have been subject to substantial errors, irregularities or fraud. If substantial errors, irregularities or fraud are discovered after the award of the Contract, the Contracting Authority may refrain from concluding the Contract.</w:t>
      </w:r>
    </w:p>
    <w:p w:rsidR="003436FE" w:rsidRPr="0040070F" w:rsidRDefault="008C68FB" w:rsidP="006052F7">
      <w:pPr>
        <w:keepNext/>
        <w:numPr>
          <w:ilvl w:val="0"/>
          <w:numId w:val="4"/>
        </w:numPr>
        <w:spacing w:before="120" w:after="120"/>
        <w:jc w:val="both"/>
        <w:rPr>
          <w:b/>
          <w:sz w:val="22"/>
          <w:szCs w:val="22"/>
        </w:rPr>
      </w:pPr>
      <w:r w:rsidRPr="0040070F">
        <w:rPr>
          <w:b/>
          <w:sz w:val="22"/>
          <w:szCs w:val="22"/>
        </w:rPr>
        <w:t>Signature of contract</w:t>
      </w:r>
    </w:p>
    <w:p w:rsidR="003436FE" w:rsidRPr="0040070F" w:rsidRDefault="003436FE" w:rsidP="003436FE">
      <w:pPr>
        <w:keepNext/>
        <w:spacing w:before="120" w:after="120"/>
        <w:ind w:left="567" w:hanging="567"/>
        <w:jc w:val="both"/>
        <w:rPr>
          <w:b/>
          <w:sz w:val="22"/>
          <w:szCs w:val="22"/>
        </w:rPr>
      </w:pPr>
      <w:r w:rsidRPr="0040070F">
        <w:rPr>
          <w:b/>
          <w:sz w:val="22"/>
          <w:szCs w:val="22"/>
        </w:rPr>
        <w:t>14.1</w:t>
      </w:r>
      <w:r w:rsidR="00010683" w:rsidRPr="0040070F">
        <w:rPr>
          <w:b/>
          <w:sz w:val="22"/>
          <w:szCs w:val="22"/>
        </w:rPr>
        <w:t>.</w:t>
      </w:r>
      <w:r w:rsidRPr="0040070F">
        <w:rPr>
          <w:b/>
          <w:sz w:val="22"/>
          <w:szCs w:val="22"/>
        </w:rPr>
        <w:tab/>
        <w:t>Notification of award</w:t>
      </w:r>
    </w:p>
    <w:p w:rsidR="003436FE" w:rsidRPr="0040070F" w:rsidRDefault="003436FE" w:rsidP="003436FE">
      <w:pPr>
        <w:keepNext/>
        <w:spacing w:before="120" w:after="120"/>
        <w:jc w:val="both"/>
        <w:rPr>
          <w:sz w:val="22"/>
          <w:szCs w:val="22"/>
        </w:rPr>
      </w:pPr>
      <w:r w:rsidRPr="0040070F">
        <w:rPr>
          <w:sz w:val="22"/>
          <w:szCs w:val="22"/>
        </w:rPr>
        <w:t xml:space="preserve">The successful tenderer will be informed in writing that its tender has been accepted. </w:t>
      </w:r>
    </w:p>
    <w:p w:rsidR="003436FE" w:rsidRPr="0040070F" w:rsidRDefault="003436FE" w:rsidP="003436FE">
      <w:pPr>
        <w:keepNext/>
        <w:spacing w:before="120" w:after="120"/>
        <w:ind w:left="567" w:hanging="567"/>
        <w:jc w:val="both"/>
        <w:rPr>
          <w:b/>
          <w:sz w:val="22"/>
          <w:szCs w:val="22"/>
          <w:u w:val="single"/>
        </w:rPr>
      </w:pPr>
      <w:r w:rsidRPr="0040070F">
        <w:rPr>
          <w:b/>
          <w:sz w:val="22"/>
          <w:szCs w:val="22"/>
        </w:rPr>
        <w:t>14.2</w:t>
      </w:r>
      <w:r w:rsidR="00010683" w:rsidRPr="0040070F">
        <w:rPr>
          <w:b/>
          <w:sz w:val="22"/>
          <w:szCs w:val="22"/>
        </w:rPr>
        <w:t>.</w:t>
      </w:r>
      <w:r w:rsidRPr="0040070F">
        <w:rPr>
          <w:b/>
          <w:sz w:val="22"/>
          <w:szCs w:val="22"/>
        </w:rPr>
        <w:tab/>
        <w:t>Signature of the contract</w:t>
      </w:r>
    </w:p>
    <w:p w:rsidR="003436FE" w:rsidRPr="0040070F" w:rsidRDefault="00EA18A1" w:rsidP="003436FE">
      <w:pPr>
        <w:pStyle w:val="BodyText2"/>
        <w:tabs>
          <w:tab w:val="clear" w:pos="567"/>
          <w:tab w:val="left" w:pos="0"/>
          <w:tab w:val="left" w:pos="630"/>
        </w:tabs>
        <w:spacing w:before="120" w:after="120"/>
        <w:rPr>
          <w:sz w:val="22"/>
          <w:szCs w:val="22"/>
        </w:rPr>
      </w:pPr>
      <w:r w:rsidRPr="0040070F">
        <w:rPr>
          <w:sz w:val="22"/>
          <w:szCs w:val="22"/>
        </w:rPr>
        <w:t>Within 5</w:t>
      </w:r>
      <w:r w:rsidR="003436FE" w:rsidRPr="0040070F">
        <w:rPr>
          <w:sz w:val="22"/>
          <w:szCs w:val="22"/>
        </w:rPr>
        <w:t xml:space="preserve"> days of receipt of the contract already signed by the Contracting Authority, the selected tenderer shall sign and date the contract and return it to the Contracting Authority.</w:t>
      </w:r>
    </w:p>
    <w:p w:rsidR="003436FE" w:rsidRPr="0040070F" w:rsidRDefault="003436FE" w:rsidP="003436FE">
      <w:pPr>
        <w:pStyle w:val="BodyText2"/>
        <w:tabs>
          <w:tab w:val="clear" w:pos="567"/>
          <w:tab w:val="left" w:pos="0"/>
          <w:tab w:val="left" w:pos="630"/>
        </w:tabs>
        <w:spacing w:before="120" w:after="120"/>
        <w:rPr>
          <w:sz w:val="22"/>
          <w:szCs w:val="22"/>
        </w:rPr>
      </w:pPr>
      <w:r w:rsidRPr="0040070F">
        <w:rPr>
          <w:sz w:val="22"/>
          <w:szCs w:val="22"/>
        </w:rPr>
        <w:t xml:space="preserve">Failure of the selected tenderer to comply with this requirement may constitute grounds for annulling the decision to award the contract. In this event, the Contracting Authority may award the tender to another tenderer or cancel the tender procedure. </w:t>
      </w:r>
    </w:p>
    <w:p w:rsidR="003436FE" w:rsidRPr="0040070F" w:rsidRDefault="003436FE" w:rsidP="003436FE">
      <w:pPr>
        <w:pStyle w:val="BodyText2"/>
        <w:tabs>
          <w:tab w:val="clear" w:pos="567"/>
          <w:tab w:val="left" w:pos="0"/>
          <w:tab w:val="left" w:pos="630"/>
        </w:tabs>
        <w:spacing w:before="120" w:after="120"/>
        <w:rPr>
          <w:rStyle w:val="Style11pt"/>
          <w:szCs w:val="22"/>
        </w:rPr>
      </w:pPr>
      <w:r w:rsidRPr="0040070F">
        <w:rPr>
          <w:sz w:val="22"/>
          <w:szCs w:val="22"/>
        </w:rPr>
        <w:t>The other tenderers will</w:t>
      </w:r>
      <w:r w:rsidR="00F11E9B" w:rsidRPr="0040070F">
        <w:rPr>
          <w:sz w:val="22"/>
          <w:szCs w:val="22"/>
        </w:rPr>
        <w:t>, at the same time as the notification of award is submitted,</w:t>
      </w:r>
      <w:r w:rsidRPr="0040070F">
        <w:rPr>
          <w:sz w:val="22"/>
          <w:szCs w:val="22"/>
        </w:rPr>
        <w:t xml:space="preserve"> be informed that their tenders were not accepted, by means of a standard letter, including an indication of the relative weaknesses of their tender by way of a comparative table of the scores for the winning tender and the unsuccessful tender.</w:t>
      </w:r>
      <w:r w:rsidR="00F11E9B" w:rsidRPr="0040070F">
        <w:rPr>
          <w:sz w:val="22"/>
          <w:szCs w:val="22"/>
        </w:rPr>
        <w:t xml:space="preserve"> T</w:t>
      </w:r>
      <w:r w:rsidR="00F11E9B" w:rsidRPr="0040070F">
        <w:rPr>
          <w:rStyle w:val="Style11pt"/>
          <w:szCs w:val="22"/>
        </w:rPr>
        <w:t xml:space="preserve">he second best tenderer is informed of the notification of award to the successful tenderer with the reservation of the </w:t>
      </w:r>
      <w:r w:rsidR="007A0123" w:rsidRPr="0040070F">
        <w:rPr>
          <w:rStyle w:val="Style11pt"/>
          <w:szCs w:val="22"/>
        </w:rPr>
        <w:t xml:space="preserve">possibility </w:t>
      </w:r>
      <w:r w:rsidR="00F11E9B" w:rsidRPr="0040070F">
        <w:rPr>
          <w:rStyle w:val="Style11pt"/>
          <w:szCs w:val="22"/>
        </w:rPr>
        <w:t xml:space="preserve">to </w:t>
      </w:r>
      <w:r w:rsidR="007A0123" w:rsidRPr="0040070F">
        <w:rPr>
          <w:rStyle w:val="Style11pt"/>
          <w:szCs w:val="22"/>
        </w:rPr>
        <w:t xml:space="preserve">receive </w:t>
      </w:r>
      <w:r w:rsidR="00F11E9B" w:rsidRPr="0040070F">
        <w:rPr>
          <w:rStyle w:val="Style11pt"/>
          <w:szCs w:val="22"/>
        </w:rPr>
        <w:t>a notification of award in case of inability to sign the contract with the first ranked tenderer. The validity of the offer of the second best tenderer will be kept.</w:t>
      </w:r>
      <w:r w:rsidR="007A0123" w:rsidRPr="0040070F">
        <w:rPr>
          <w:rStyle w:val="Style11pt"/>
          <w:szCs w:val="22"/>
        </w:rPr>
        <w:t xml:space="preserve"> The second tenderer may refuse the award of the contract if, when receiving a notification of award, the 90 days of validity of their tender has expired.</w:t>
      </w:r>
    </w:p>
    <w:p w:rsidR="00F11E9B" w:rsidRPr="0040070F" w:rsidRDefault="00F11E9B" w:rsidP="00F11E9B">
      <w:pPr>
        <w:pStyle w:val="Style11ptJustifiedAfter12pt"/>
        <w:rPr>
          <w:szCs w:val="22"/>
        </w:rPr>
      </w:pPr>
      <w:r w:rsidRPr="0040070F">
        <w:rPr>
          <w:rStyle w:val="Style11pt"/>
          <w:szCs w:val="22"/>
        </w:rPr>
        <w:t>The Contracting Authority will furthermore, at the same time, also inform the remaining unsuccessful tenderers and the consequence of these letters will be that the validity of their offers must not be retained.</w:t>
      </w:r>
    </w:p>
    <w:p w:rsidR="003436FE" w:rsidRPr="0040070F" w:rsidRDefault="003436FE" w:rsidP="006052F7">
      <w:pPr>
        <w:keepNext/>
        <w:numPr>
          <w:ilvl w:val="0"/>
          <w:numId w:val="4"/>
        </w:numPr>
        <w:spacing w:before="120" w:after="120"/>
        <w:jc w:val="both"/>
        <w:rPr>
          <w:b/>
          <w:sz w:val="22"/>
          <w:szCs w:val="22"/>
        </w:rPr>
      </w:pPr>
      <w:r w:rsidRPr="0040070F">
        <w:rPr>
          <w:b/>
          <w:sz w:val="22"/>
          <w:szCs w:val="22"/>
        </w:rPr>
        <w:t>Cancellation of the tender procedure</w:t>
      </w:r>
    </w:p>
    <w:p w:rsidR="003436FE" w:rsidRPr="0040070F" w:rsidRDefault="003436FE" w:rsidP="003436FE">
      <w:pPr>
        <w:pStyle w:val="BodyText2"/>
        <w:tabs>
          <w:tab w:val="clear" w:pos="567"/>
          <w:tab w:val="left" w:pos="0"/>
          <w:tab w:val="left" w:pos="630"/>
        </w:tabs>
        <w:spacing w:before="120" w:after="120"/>
        <w:rPr>
          <w:sz w:val="22"/>
          <w:szCs w:val="22"/>
        </w:rPr>
      </w:pPr>
      <w:r w:rsidRPr="0040070F">
        <w:rPr>
          <w:sz w:val="22"/>
          <w:szCs w:val="22"/>
        </w:rPr>
        <w:t>In the event of cancellation of the tender procedure, the Contracting Authority will notify tenderers of the cancellation. If the tender procedure is cancelled before the outer envelope of any tender has been opened, the unopened and sealed envelopes will be returned to the tenderers.</w:t>
      </w:r>
    </w:p>
    <w:p w:rsidR="003436FE" w:rsidRPr="0040070F" w:rsidRDefault="003436FE" w:rsidP="003436FE">
      <w:pPr>
        <w:pStyle w:val="BodyText2"/>
        <w:tabs>
          <w:tab w:val="clear" w:pos="567"/>
          <w:tab w:val="left" w:pos="0"/>
          <w:tab w:val="left" w:pos="630"/>
        </w:tabs>
        <w:spacing w:before="120" w:after="120"/>
        <w:rPr>
          <w:sz w:val="22"/>
          <w:szCs w:val="22"/>
        </w:rPr>
      </w:pPr>
      <w:r w:rsidRPr="0040070F">
        <w:rPr>
          <w:sz w:val="22"/>
          <w:szCs w:val="22"/>
        </w:rPr>
        <w:t>Cancellation may occur</w:t>
      </w:r>
      <w:r w:rsidR="003E309F" w:rsidRPr="0040070F">
        <w:rPr>
          <w:sz w:val="22"/>
          <w:szCs w:val="22"/>
        </w:rPr>
        <w:t>, for example,</w:t>
      </w:r>
      <w:r w:rsidRPr="0040070F">
        <w:rPr>
          <w:sz w:val="22"/>
          <w:szCs w:val="22"/>
        </w:rPr>
        <w:t xml:space="preserve"> where:</w:t>
      </w:r>
    </w:p>
    <w:p w:rsidR="003436FE" w:rsidRPr="0040070F" w:rsidRDefault="003436FE" w:rsidP="006052F7">
      <w:pPr>
        <w:pStyle w:val="BodyText2"/>
        <w:numPr>
          <w:ilvl w:val="0"/>
          <w:numId w:val="6"/>
        </w:numPr>
        <w:tabs>
          <w:tab w:val="left" w:pos="0"/>
          <w:tab w:val="left" w:pos="630"/>
        </w:tabs>
        <w:spacing w:before="120" w:after="120"/>
        <w:rPr>
          <w:sz w:val="22"/>
          <w:szCs w:val="22"/>
        </w:rPr>
      </w:pPr>
      <w:r w:rsidRPr="0040070F">
        <w:rPr>
          <w:sz w:val="22"/>
          <w:szCs w:val="22"/>
        </w:rPr>
        <w:t>the tender procedure has been unsuccessful, i.e., no qualitatively or financially worthwhile tender has been received or there is no valid response at all;</w:t>
      </w:r>
    </w:p>
    <w:p w:rsidR="003436FE" w:rsidRPr="0040070F" w:rsidRDefault="003436FE" w:rsidP="006052F7">
      <w:pPr>
        <w:pStyle w:val="BodyText2"/>
        <w:numPr>
          <w:ilvl w:val="0"/>
          <w:numId w:val="6"/>
        </w:numPr>
        <w:tabs>
          <w:tab w:val="left" w:pos="0"/>
          <w:tab w:val="left" w:pos="630"/>
        </w:tabs>
        <w:spacing w:before="120" w:after="120"/>
        <w:rPr>
          <w:sz w:val="22"/>
          <w:szCs w:val="22"/>
        </w:rPr>
      </w:pPr>
      <w:r w:rsidRPr="0040070F">
        <w:rPr>
          <w:sz w:val="22"/>
          <w:szCs w:val="22"/>
        </w:rPr>
        <w:t>there are fundamental changes to the economic or technical data of the project;</w:t>
      </w:r>
    </w:p>
    <w:p w:rsidR="003436FE" w:rsidRPr="0040070F" w:rsidRDefault="003436FE" w:rsidP="006052F7">
      <w:pPr>
        <w:pStyle w:val="BodyText2"/>
        <w:numPr>
          <w:ilvl w:val="0"/>
          <w:numId w:val="6"/>
        </w:numPr>
        <w:tabs>
          <w:tab w:val="left" w:pos="0"/>
          <w:tab w:val="left" w:pos="630"/>
        </w:tabs>
        <w:spacing w:before="120" w:after="120"/>
        <w:rPr>
          <w:sz w:val="22"/>
          <w:szCs w:val="22"/>
        </w:rPr>
      </w:pPr>
      <w:r w:rsidRPr="0040070F">
        <w:rPr>
          <w:sz w:val="22"/>
          <w:szCs w:val="22"/>
        </w:rPr>
        <w:t>exceptional circumstances or force majeure render normal performance of the contract impossible;</w:t>
      </w:r>
    </w:p>
    <w:p w:rsidR="003436FE" w:rsidRPr="0040070F" w:rsidRDefault="003436FE" w:rsidP="006052F7">
      <w:pPr>
        <w:pStyle w:val="BodyText2"/>
        <w:numPr>
          <w:ilvl w:val="0"/>
          <w:numId w:val="6"/>
        </w:numPr>
        <w:tabs>
          <w:tab w:val="left" w:pos="0"/>
          <w:tab w:val="left" w:pos="630"/>
        </w:tabs>
        <w:spacing w:before="120" w:after="120"/>
        <w:rPr>
          <w:sz w:val="22"/>
          <w:szCs w:val="22"/>
        </w:rPr>
      </w:pPr>
      <w:r w:rsidRPr="0040070F">
        <w:rPr>
          <w:sz w:val="22"/>
          <w:szCs w:val="22"/>
        </w:rPr>
        <w:t>all technically compliant tenders exceed the financial resources available;</w:t>
      </w:r>
    </w:p>
    <w:p w:rsidR="003436FE" w:rsidRPr="0040070F" w:rsidRDefault="003436FE" w:rsidP="006052F7">
      <w:pPr>
        <w:pStyle w:val="BodyText2"/>
        <w:numPr>
          <w:ilvl w:val="0"/>
          <w:numId w:val="6"/>
        </w:numPr>
        <w:tabs>
          <w:tab w:val="left" w:pos="0"/>
          <w:tab w:val="left" w:pos="630"/>
        </w:tabs>
        <w:spacing w:before="120" w:after="120"/>
        <w:rPr>
          <w:sz w:val="22"/>
          <w:szCs w:val="22"/>
        </w:rPr>
      </w:pPr>
      <w:r w:rsidRPr="0040070F">
        <w:rPr>
          <w:sz w:val="22"/>
          <w:szCs w:val="22"/>
        </w:rPr>
        <w:t>there have been irregularities in the procedure, in particular if they have prevented fair competition;</w:t>
      </w:r>
    </w:p>
    <w:p w:rsidR="003436FE" w:rsidRPr="0040070F" w:rsidRDefault="003436FE" w:rsidP="006052F7">
      <w:pPr>
        <w:pStyle w:val="BodyText2"/>
        <w:numPr>
          <w:ilvl w:val="0"/>
          <w:numId w:val="6"/>
        </w:numPr>
        <w:tabs>
          <w:tab w:val="left" w:pos="0"/>
          <w:tab w:val="left" w:pos="630"/>
        </w:tabs>
        <w:spacing w:before="120" w:after="120"/>
        <w:rPr>
          <w:sz w:val="22"/>
          <w:szCs w:val="22"/>
        </w:rPr>
      </w:pPr>
      <w:r w:rsidRPr="0040070F">
        <w:rPr>
          <w:sz w:val="22"/>
          <w:szCs w:val="22"/>
        </w:rPr>
        <w:lastRenderedPageBreak/>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40070F" w:rsidRDefault="003436FE" w:rsidP="003436FE">
      <w:pPr>
        <w:pStyle w:val="BodyText2"/>
        <w:tabs>
          <w:tab w:val="clear" w:pos="567"/>
          <w:tab w:val="left" w:pos="0"/>
          <w:tab w:val="left" w:pos="630"/>
        </w:tabs>
        <w:spacing w:before="120" w:after="120"/>
        <w:rPr>
          <w:bCs/>
          <w:sz w:val="22"/>
          <w:szCs w:val="22"/>
        </w:rPr>
      </w:pPr>
      <w:r w:rsidRPr="0040070F">
        <w:rPr>
          <w:bCs/>
          <w:sz w:val="22"/>
          <w:szCs w:val="22"/>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3436FE" w:rsidRPr="0040070F" w:rsidRDefault="003436FE" w:rsidP="006052F7">
      <w:pPr>
        <w:keepNext/>
        <w:keepLines/>
        <w:numPr>
          <w:ilvl w:val="0"/>
          <w:numId w:val="4"/>
        </w:numPr>
        <w:spacing w:before="120" w:after="120"/>
        <w:jc w:val="both"/>
        <w:rPr>
          <w:b/>
          <w:sz w:val="22"/>
          <w:szCs w:val="22"/>
        </w:rPr>
      </w:pPr>
      <w:r w:rsidRPr="0040070F">
        <w:rPr>
          <w:b/>
          <w:sz w:val="22"/>
          <w:szCs w:val="22"/>
        </w:rPr>
        <w:t>Appeals</w:t>
      </w:r>
    </w:p>
    <w:p w:rsidR="003436FE" w:rsidRPr="0040070F" w:rsidRDefault="003436FE" w:rsidP="004631FD">
      <w:pPr>
        <w:pStyle w:val="BodyText2"/>
        <w:keepNext/>
        <w:keepLines/>
        <w:tabs>
          <w:tab w:val="clear" w:pos="567"/>
          <w:tab w:val="left" w:pos="0"/>
          <w:tab w:val="left" w:pos="630"/>
        </w:tabs>
        <w:spacing w:before="120" w:after="120"/>
        <w:rPr>
          <w:sz w:val="22"/>
          <w:szCs w:val="22"/>
        </w:rPr>
      </w:pPr>
      <w:r w:rsidRPr="0040070F">
        <w:rPr>
          <w:sz w:val="22"/>
          <w:szCs w:val="22"/>
        </w:rPr>
        <w:t>Tenderers believing that they have been harmed by an error or irregularity during the award process may file a complaint. See section 2.4.15 of the Practical Guide</w:t>
      </w:r>
      <w:r w:rsidR="00E55A8B" w:rsidRPr="0040070F">
        <w:rPr>
          <w:sz w:val="22"/>
          <w:szCs w:val="22"/>
        </w:rPr>
        <w:t>.</w:t>
      </w:r>
      <w:r w:rsidRPr="0040070F">
        <w:rPr>
          <w:sz w:val="22"/>
          <w:szCs w:val="22"/>
        </w:rPr>
        <w:t xml:space="preserve"> </w:t>
      </w:r>
    </w:p>
    <w:sectPr w:rsidR="003436FE" w:rsidRPr="0040070F" w:rsidSect="003436FE">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B8" w:rsidRDefault="004706B8">
      <w:r>
        <w:separator/>
      </w:r>
    </w:p>
  </w:endnote>
  <w:endnote w:type="continuationSeparator" w:id="0">
    <w:p w:rsidR="004706B8" w:rsidRDefault="0047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Default="00B06838">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D3" w:rsidRPr="002B370E" w:rsidRDefault="00C973D3" w:rsidP="00C973D3">
    <w:pPr>
      <w:pStyle w:val="Footer"/>
      <w:tabs>
        <w:tab w:val="clear" w:pos="4320"/>
        <w:tab w:val="clear" w:pos="8640"/>
        <w:tab w:val="right" w:pos="8080"/>
      </w:tabs>
      <w:rPr>
        <w:rStyle w:val="PageNumber"/>
        <w:sz w:val="18"/>
        <w:szCs w:val="18"/>
      </w:rPr>
    </w:pPr>
    <w:r>
      <w:rPr>
        <w:b/>
        <w:snapToGrid w:val="0"/>
        <w:sz w:val="18"/>
        <w:szCs w:val="18"/>
      </w:rPr>
      <w:t>15 January 2016</w:t>
    </w:r>
    <w:r w:rsidRPr="002B370E">
      <w:rPr>
        <w:sz w:val="18"/>
        <w:szCs w:val="18"/>
      </w:rPr>
      <w:tab/>
      <w:t xml:space="preserve">Page </w:t>
    </w:r>
    <w:r w:rsidR="00B06838" w:rsidRPr="002B370E">
      <w:rPr>
        <w:rStyle w:val="PageNumber"/>
        <w:sz w:val="18"/>
        <w:szCs w:val="18"/>
      </w:rPr>
      <w:fldChar w:fldCharType="begin"/>
    </w:r>
    <w:r w:rsidRPr="002B370E">
      <w:rPr>
        <w:rStyle w:val="PageNumber"/>
        <w:sz w:val="18"/>
        <w:szCs w:val="18"/>
      </w:rPr>
      <w:instrText xml:space="preserve"> PAGE </w:instrText>
    </w:r>
    <w:r w:rsidR="00B06838" w:rsidRPr="002B370E">
      <w:rPr>
        <w:rStyle w:val="PageNumber"/>
        <w:sz w:val="18"/>
        <w:szCs w:val="18"/>
      </w:rPr>
      <w:fldChar w:fldCharType="separate"/>
    </w:r>
    <w:r w:rsidR="004D5B2B">
      <w:rPr>
        <w:rStyle w:val="PageNumber"/>
        <w:noProof/>
        <w:sz w:val="18"/>
        <w:szCs w:val="18"/>
      </w:rPr>
      <w:t>2</w:t>
    </w:r>
    <w:r w:rsidR="00B06838" w:rsidRPr="002B370E">
      <w:rPr>
        <w:rStyle w:val="PageNumber"/>
        <w:sz w:val="18"/>
        <w:szCs w:val="18"/>
      </w:rPr>
      <w:fldChar w:fldCharType="end"/>
    </w:r>
    <w:r w:rsidRPr="002B370E">
      <w:rPr>
        <w:rStyle w:val="PageNumber"/>
        <w:sz w:val="18"/>
        <w:szCs w:val="18"/>
      </w:rPr>
      <w:t xml:space="preserve"> of </w:t>
    </w:r>
    <w:r w:rsidR="00B06838" w:rsidRPr="002B370E">
      <w:rPr>
        <w:rStyle w:val="PageNumber"/>
        <w:sz w:val="18"/>
        <w:szCs w:val="18"/>
      </w:rPr>
      <w:fldChar w:fldCharType="begin"/>
    </w:r>
    <w:r w:rsidRPr="002B370E">
      <w:rPr>
        <w:rStyle w:val="PageNumber"/>
        <w:sz w:val="18"/>
        <w:szCs w:val="18"/>
      </w:rPr>
      <w:instrText xml:space="preserve"> NUMPAGES </w:instrText>
    </w:r>
    <w:r w:rsidR="00B06838" w:rsidRPr="002B370E">
      <w:rPr>
        <w:rStyle w:val="PageNumber"/>
        <w:sz w:val="18"/>
        <w:szCs w:val="18"/>
      </w:rPr>
      <w:fldChar w:fldCharType="separate"/>
    </w:r>
    <w:r w:rsidR="004D5B2B">
      <w:rPr>
        <w:rStyle w:val="PageNumber"/>
        <w:noProof/>
        <w:sz w:val="18"/>
        <w:szCs w:val="18"/>
      </w:rPr>
      <w:t>8</w:t>
    </w:r>
    <w:r w:rsidR="00B06838" w:rsidRPr="002B370E">
      <w:rPr>
        <w:rStyle w:val="PageNumber"/>
        <w:sz w:val="18"/>
        <w:szCs w:val="18"/>
      </w:rPr>
      <w:fldChar w:fldCharType="end"/>
    </w:r>
  </w:p>
  <w:p w:rsidR="00C973D3" w:rsidRPr="00C973D3" w:rsidRDefault="00B06838" w:rsidP="00C973D3">
    <w:pPr>
      <w:pStyle w:val="Footer"/>
      <w:tabs>
        <w:tab w:val="clear" w:pos="4320"/>
        <w:tab w:val="clear" w:pos="8640"/>
        <w:tab w:val="right" w:pos="8080"/>
      </w:tabs>
      <w:rPr>
        <w:sz w:val="18"/>
        <w:szCs w:val="18"/>
      </w:rPr>
    </w:pPr>
    <w:r w:rsidRPr="00495144">
      <w:rPr>
        <w:sz w:val="18"/>
        <w:szCs w:val="18"/>
      </w:rPr>
      <w:fldChar w:fldCharType="begin"/>
    </w:r>
    <w:r w:rsidR="00C973D3" w:rsidRPr="00495144">
      <w:rPr>
        <w:sz w:val="18"/>
        <w:szCs w:val="18"/>
      </w:rPr>
      <w:instrText xml:space="preserve"> FILENAME </w:instrText>
    </w:r>
    <w:r w:rsidRPr="00495144">
      <w:rPr>
        <w:sz w:val="18"/>
        <w:szCs w:val="18"/>
      </w:rPr>
      <w:fldChar w:fldCharType="separate"/>
    </w:r>
    <w:r w:rsidR="00C973D3">
      <w:rPr>
        <w:noProof/>
        <w:sz w:val="18"/>
        <w:szCs w:val="18"/>
      </w:rPr>
      <w:t>A2  Instructions to tenderers</w:t>
    </w:r>
    <w:r w:rsidRPr="00495144">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2B370E" w:rsidRDefault="005D1583" w:rsidP="003436FE">
    <w:pPr>
      <w:pStyle w:val="Footer"/>
      <w:tabs>
        <w:tab w:val="clear" w:pos="4320"/>
        <w:tab w:val="clear" w:pos="8640"/>
        <w:tab w:val="right" w:pos="8080"/>
      </w:tabs>
      <w:rPr>
        <w:rStyle w:val="PageNumber"/>
        <w:sz w:val="18"/>
        <w:szCs w:val="18"/>
      </w:rPr>
    </w:pPr>
    <w:r>
      <w:rPr>
        <w:b/>
        <w:snapToGrid w:val="0"/>
        <w:sz w:val="18"/>
        <w:szCs w:val="18"/>
      </w:rPr>
      <w:t>15 J</w:t>
    </w:r>
    <w:r w:rsidR="003669D2">
      <w:rPr>
        <w:b/>
        <w:snapToGrid w:val="0"/>
        <w:sz w:val="18"/>
        <w:szCs w:val="18"/>
      </w:rPr>
      <w:t>anuary</w:t>
    </w:r>
    <w:r>
      <w:rPr>
        <w:b/>
        <w:snapToGrid w:val="0"/>
        <w:sz w:val="18"/>
        <w:szCs w:val="18"/>
      </w:rPr>
      <w:t xml:space="preserve"> </w:t>
    </w:r>
    <w:r w:rsidR="003669D2">
      <w:rPr>
        <w:b/>
        <w:snapToGrid w:val="0"/>
        <w:sz w:val="18"/>
        <w:szCs w:val="18"/>
      </w:rPr>
      <w:t>2016</w:t>
    </w:r>
    <w:r w:rsidR="00C06F58" w:rsidRPr="002B370E">
      <w:rPr>
        <w:sz w:val="18"/>
        <w:szCs w:val="18"/>
      </w:rPr>
      <w:tab/>
      <w:t xml:space="preserve">Page </w:t>
    </w:r>
    <w:r w:rsidR="00B06838" w:rsidRPr="002B370E">
      <w:rPr>
        <w:rStyle w:val="PageNumber"/>
        <w:sz w:val="18"/>
        <w:szCs w:val="18"/>
      </w:rPr>
      <w:fldChar w:fldCharType="begin"/>
    </w:r>
    <w:r w:rsidR="00C06F58" w:rsidRPr="002B370E">
      <w:rPr>
        <w:rStyle w:val="PageNumber"/>
        <w:sz w:val="18"/>
        <w:szCs w:val="18"/>
      </w:rPr>
      <w:instrText xml:space="preserve"> PAGE </w:instrText>
    </w:r>
    <w:r w:rsidR="00B06838" w:rsidRPr="002B370E">
      <w:rPr>
        <w:rStyle w:val="PageNumber"/>
        <w:sz w:val="18"/>
        <w:szCs w:val="18"/>
      </w:rPr>
      <w:fldChar w:fldCharType="separate"/>
    </w:r>
    <w:r w:rsidR="004D5B2B">
      <w:rPr>
        <w:rStyle w:val="PageNumber"/>
        <w:noProof/>
        <w:sz w:val="18"/>
        <w:szCs w:val="18"/>
      </w:rPr>
      <w:t>1</w:t>
    </w:r>
    <w:r w:rsidR="00B06838" w:rsidRPr="002B370E">
      <w:rPr>
        <w:rStyle w:val="PageNumber"/>
        <w:sz w:val="18"/>
        <w:szCs w:val="18"/>
      </w:rPr>
      <w:fldChar w:fldCharType="end"/>
    </w:r>
    <w:r w:rsidR="00C06F58" w:rsidRPr="002B370E">
      <w:rPr>
        <w:rStyle w:val="PageNumber"/>
        <w:sz w:val="18"/>
        <w:szCs w:val="18"/>
      </w:rPr>
      <w:t xml:space="preserve"> of </w:t>
    </w:r>
    <w:r w:rsidR="00B06838" w:rsidRPr="002B370E">
      <w:rPr>
        <w:rStyle w:val="PageNumber"/>
        <w:sz w:val="18"/>
        <w:szCs w:val="18"/>
      </w:rPr>
      <w:fldChar w:fldCharType="begin"/>
    </w:r>
    <w:r w:rsidR="00C06F58" w:rsidRPr="002B370E">
      <w:rPr>
        <w:rStyle w:val="PageNumber"/>
        <w:sz w:val="18"/>
        <w:szCs w:val="18"/>
      </w:rPr>
      <w:instrText xml:space="preserve"> NUMPAGES </w:instrText>
    </w:r>
    <w:r w:rsidR="00B06838" w:rsidRPr="002B370E">
      <w:rPr>
        <w:rStyle w:val="PageNumber"/>
        <w:sz w:val="18"/>
        <w:szCs w:val="18"/>
      </w:rPr>
      <w:fldChar w:fldCharType="separate"/>
    </w:r>
    <w:r w:rsidR="004D5B2B">
      <w:rPr>
        <w:rStyle w:val="PageNumber"/>
        <w:noProof/>
        <w:sz w:val="18"/>
        <w:szCs w:val="18"/>
      </w:rPr>
      <w:t>8</w:t>
    </w:r>
    <w:r w:rsidR="00B06838" w:rsidRPr="002B370E">
      <w:rPr>
        <w:rStyle w:val="PageNumber"/>
        <w:sz w:val="18"/>
        <w:szCs w:val="18"/>
      </w:rPr>
      <w:fldChar w:fldCharType="end"/>
    </w:r>
    <w:bookmarkStart w:id="5" w:name="_Hlt26943623"/>
    <w:bookmarkEnd w:id="5"/>
  </w:p>
  <w:p w:rsidR="00C973D3" w:rsidRPr="002B370E" w:rsidRDefault="00B06838" w:rsidP="003436FE">
    <w:pPr>
      <w:pStyle w:val="Footer"/>
      <w:tabs>
        <w:tab w:val="clear" w:pos="4320"/>
        <w:tab w:val="clear" w:pos="8640"/>
        <w:tab w:val="right" w:pos="8080"/>
      </w:tabs>
      <w:rPr>
        <w:sz w:val="18"/>
        <w:szCs w:val="18"/>
      </w:rPr>
    </w:pPr>
    <w:r w:rsidRPr="00495144">
      <w:rPr>
        <w:sz w:val="18"/>
        <w:szCs w:val="18"/>
      </w:rPr>
      <w:fldChar w:fldCharType="begin"/>
    </w:r>
    <w:r w:rsidR="00C06F58" w:rsidRPr="00495144">
      <w:rPr>
        <w:sz w:val="18"/>
        <w:szCs w:val="18"/>
      </w:rPr>
      <w:instrText xml:space="preserve"> FILENAME </w:instrText>
    </w:r>
    <w:r w:rsidRPr="00495144">
      <w:rPr>
        <w:sz w:val="18"/>
        <w:szCs w:val="18"/>
      </w:rPr>
      <w:fldChar w:fldCharType="separate"/>
    </w:r>
    <w:r w:rsidR="003669D2">
      <w:rPr>
        <w:noProof/>
        <w:sz w:val="18"/>
        <w:szCs w:val="18"/>
      </w:rPr>
      <w:t xml:space="preserve">A2 </w:t>
    </w:r>
    <w:r w:rsidR="0051218E">
      <w:rPr>
        <w:noProof/>
        <w:sz w:val="18"/>
        <w:szCs w:val="18"/>
      </w:rPr>
      <w:t xml:space="preserve"> Instructions to tendere</w:t>
    </w:r>
    <w:r w:rsidR="00C973D3">
      <w:rPr>
        <w:noProof/>
        <w:sz w:val="18"/>
        <w:szCs w:val="18"/>
      </w:rPr>
      <w:t>r</w:t>
    </w:r>
    <w:r w:rsidR="0051218E">
      <w:rPr>
        <w:noProof/>
        <w:sz w:val="18"/>
        <w:szCs w:val="18"/>
      </w:rPr>
      <w:t>s</w:t>
    </w:r>
    <w:r w:rsidRPr="004951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B8" w:rsidRDefault="004706B8">
      <w:r>
        <w:separator/>
      </w:r>
    </w:p>
  </w:footnote>
  <w:footnote w:type="continuationSeparator" w:id="0">
    <w:p w:rsidR="004706B8" w:rsidRDefault="0047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B52CE"/>
    <w:multiLevelType w:val="hybridMultilevel"/>
    <w:tmpl w:val="ED822C9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43F2C81"/>
    <w:multiLevelType w:val="hybridMultilevel"/>
    <w:tmpl w:val="099E5F6A"/>
    <w:lvl w:ilvl="0" w:tplc="08090001">
      <w:start w:val="1"/>
      <w:numFmt w:val="bullet"/>
      <w:lvlText w:val=""/>
      <w:lvlJc w:val="left"/>
      <w:pPr>
        <w:ind w:left="1287" w:hanging="360"/>
      </w:pPr>
      <w:rPr>
        <w:rFonts w:ascii="Symbol" w:hAnsi="Symbol" w:hint="default"/>
      </w:rPr>
    </w:lvl>
    <w:lvl w:ilvl="1" w:tplc="9C6EAC26">
      <w:numFmt w:val="bullet"/>
      <w:lvlText w:val="-"/>
      <w:lvlJc w:val="left"/>
      <w:pPr>
        <w:ind w:left="2007" w:hanging="360"/>
      </w:pPr>
      <w:rPr>
        <w:rFonts w:ascii="@Arial Unicode MS" w:eastAsia="@Arial Unicode MS" w:hAnsi="@Arial Unicode MS" w:cs="@Arial Unicode M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5"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num w:numId="1">
    <w:abstractNumId w:val="4"/>
  </w:num>
  <w:num w:numId="2">
    <w:abstractNumId w:val="5"/>
  </w:num>
  <w:num w:numId="3">
    <w:abstractNumId w:val="7"/>
  </w:num>
  <w:num w:numId="4">
    <w:abstractNumId w:val="8"/>
  </w:num>
  <w:num w:numId="5">
    <w:abstractNumId w:val="3"/>
  </w:num>
  <w:num w:numId="6">
    <w:abstractNumId w:val="6"/>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1602E"/>
    <w:rsid w:val="0004095E"/>
    <w:rsid w:val="00041449"/>
    <w:rsid w:val="00041764"/>
    <w:rsid w:val="000433C0"/>
    <w:rsid w:val="000544E6"/>
    <w:rsid w:val="00057A21"/>
    <w:rsid w:val="000607F7"/>
    <w:rsid w:val="000626CB"/>
    <w:rsid w:val="00063140"/>
    <w:rsid w:val="0009029D"/>
    <w:rsid w:val="000913E8"/>
    <w:rsid w:val="00092AF6"/>
    <w:rsid w:val="000955FE"/>
    <w:rsid w:val="00097FA7"/>
    <w:rsid w:val="000C5425"/>
    <w:rsid w:val="000C5653"/>
    <w:rsid w:val="0011416B"/>
    <w:rsid w:val="0014136C"/>
    <w:rsid w:val="001671BA"/>
    <w:rsid w:val="0017009E"/>
    <w:rsid w:val="001777B7"/>
    <w:rsid w:val="001778C5"/>
    <w:rsid w:val="00180127"/>
    <w:rsid w:val="001B2CA6"/>
    <w:rsid w:val="001B4EEC"/>
    <w:rsid w:val="001C0F8D"/>
    <w:rsid w:val="001C5A54"/>
    <w:rsid w:val="001D579A"/>
    <w:rsid w:val="001F0408"/>
    <w:rsid w:val="001F5DEC"/>
    <w:rsid w:val="00201F85"/>
    <w:rsid w:val="002157AA"/>
    <w:rsid w:val="00216E18"/>
    <w:rsid w:val="002436DC"/>
    <w:rsid w:val="00245C38"/>
    <w:rsid w:val="00250B09"/>
    <w:rsid w:val="002641FB"/>
    <w:rsid w:val="0028610C"/>
    <w:rsid w:val="00290ACC"/>
    <w:rsid w:val="00291DE3"/>
    <w:rsid w:val="002921F7"/>
    <w:rsid w:val="00294800"/>
    <w:rsid w:val="002A1587"/>
    <w:rsid w:val="002B0E84"/>
    <w:rsid w:val="002B75E8"/>
    <w:rsid w:val="002C2852"/>
    <w:rsid w:val="002E2B81"/>
    <w:rsid w:val="002F6273"/>
    <w:rsid w:val="0030208E"/>
    <w:rsid w:val="00306905"/>
    <w:rsid w:val="003121C6"/>
    <w:rsid w:val="003343C9"/>
    <w:rsid w:val="003436FE"/>
    <w:rsid w:val="00365B12"/>
    <w:rsid w:val="003669D2"/>
    <w:rsid w:val="0037753A"/>
    <w:rsid w:val="00381AB8"/>
    <w:rsid w:val="003924DF"/>
    <w:rsid w:val="00396D4A"/>
    <w:rsid w:val="00397B28"/>
    <w:rsid w:val="003B363F"/>
    <w:rsid w:val="003C0744"/>
    <w:rsid w:val="003C5C2B"/>
    <w:rsid w:val="003C747A"/>
    <w:rsid w:val="003C773B"/>
    <w:rsid w:val="003D3D06"/>
    <w:rsid w:val="003D6976"/>
    <w:rsid w:val="003E0637"/>
    <w:rsid w:val="003E309F"/>
    <w:rsid w:val="003F05B3"/>
    <w:rsid w:val="003F2D75"/>
    <w:rsid w:val="003F4AB5"/>
    <w:rsid w:val="0040070F"/>
    <w:rsid w:val="00417586"/>
    <w:rsid w:val="004266DE"/>
    <w:rsid w:val="00453651"/>
    <w:rsid w:val="004551A2"/>
    <w:rsid w:val="004567A5"/>
    <w:rsid w:val="004631FD"/>
    <w:rsid w:val="00463A51"/>
    <w:rsid w:val="004706B8"/>
    <w:rsid w:val="00470E2F"/>
    <w:rsid w:val="0048664A"/>
    <w:rsid w:val="00493235"/>
    <w:rsid w:val="00493F98"/>
    <w:rsid w:val="00495144"/>
    <w:rsid w:val="00497FEF"/>
    <w:rsid w:val="004A1082"/>
    <w:rsid w:val="004A1608"/>
    <w:rsid w:val="004A544F"/>
    <w:rsid w:val="004C0ADB"/>
    <w:rsid w:val="004D0FE4"/>
    <w:rsid w:val="004D12A5"/>
    <w:rsid w:val="004D2399"/>
    <w:rsid w:val="004D5B2B"/>
    <w:rsid w:val="004D7FC9"/>
    <w:rsid w:val="0051218E"/>
    <w:rsid w:val="00517439"/>
    <w:rsid w:val="00526546"/>
    <w:rsid w:val="00527CB9"/>
    <w:rsid w:val="00527F4E"/>
    <w:rsid w:val="00537C37"/>
    <w:rsid w:val="00545A56"/>
    <w:rsid w:val="005510F3"/>
    <w:rsid w:val="00561FCB"/>
    <w:rsid w:val="0056210A"/>
    <w:rsid w:val="00562325"/>
    <w:rsid w:val="0056414B"/>
    <w:rsid w:val="00565B27"/>
    <w:rsid w:val="00574DD1"/>
    <w:rsid w:val="00577681"/>
    <w:rsid w:val="0059570B"/>
    <w:rsid w:val="00597E73"/>
    <w:rsid w:val="005A0D4A"/>
    <w:rsid w:val="005B2947"/>
    <w:rsid w:val="005C1E9E"/>
    <w:rsid w:val="005C44AA"/>
    <w:rsid w:val="005C53E7"/>
    <w:rsid w:val="005D1583"/>
    <w:rsid w:val="005D6CCF"/>
    <w:rsid w:val="005F1DD5"/>
    <w:rsid w:val="0060027E"/>
    <w:rsid w:val="00600F15"/>
    <w:rsid w:val="006052F7"/>
    <w:rsid w:val="0062677E"/>
    <w:rsid w:val="00632671"/>
    <w:rsid w:val="0063368A"/>
    <w:rsid w:val="006365A9"/>
    <w:rsid w:val="00642A8D"/>
    <w:rsid w:val="006430C5"/>
    <w:rsid w:val="00645596"/>
    <w:rsid w:val="0068123D"/>
    <w:rsid w:val="00681768"/>
    <w:rsid w:val="00682D24"/>
    <w:rsid w:val="006A1537"/>
    <w:rsid w:val="006B0775"/>
    <w:rsid w:val="006B1122"/>
    <w:rsid w:val="006B300A"/>
    <w:rsid w:val="006F25A2"/>
    <w:rsid w:val="006F5D6C"/>
    <w:rsid w:val="006F6361"/>
    <w:rsid w:val="00704EC7"/>
    <w:rsid w:val="007078C5"/>
    <w:rsid w:val="0072647E"/>
    <w:rsid w:val="00740B27"/>
    <w:rsid w:val="0074661E"/>
    <w:rsid w:val="0076077B"/>
    <w:rsid w:val="007639DA"/>
    <w:rsid w:val="00763C86"/>
    <w:rsid w:val="00796BFD"/>
    <w:rsid w:val="007A0123"/>
    <w:rsid w:val="007A5813"/>
    <w:rsid w:val="007A6CE3"/>
    <w:rsid w:val="007B71C3"/>
    <w:rsid w:val="007E285C"/>
    <w:rsid w:val="007E49E5"/>
    <w:rsid w:val="007F3F19"/>
    <w:rsid w:val="007F760C"/>
    <w:rsid w:val="00804556"/>
    <w:rsid w:val="00805454"/>
    <w:rsid w:val="008100D6"/>
    <w:rsid w:val="008105AC"/>
    <w:rsid w:val="0082046F"/>
    <w:rsid w:val="00837E1E"/>
    <w:rsid w:val="00840D73"/>
    <w:rsid w:val="00843423"/>
    <w:rsid w:val="008531BA"/>
    <w:rsid w:val="00855F72"/>
    <w:rsid w:val="00863A82"/>
    <w:rsid w:val="00870B5F"/>
    <w:rsid w:val="00876929"/>
    <w:rsid w:val="00885F68"/>
    <w:rsid w:val="008A2426"/>
    <w:rsid w:val="008A7B5A"/>
    <w:rsid w:val="008B4DE1"/>
    <w:rsid w:val="008C4610"/>
    <w:rsid w:val="008C68FB"/>
    <w:rsid w:val="008E5D9D"/>
    <w:rsid w:val="00901AD3"/>
    <w:rsid w:val="009063CE"/>
    <w:rsid w:val="00916E8B"/>
    <w:rsid w:val="00917284"/>
    <w:rsid w:val="00923797"/>
    <w:rsid w:val="00937074"/>
    <w:rsid w:val="00937265"/>
    <w:rsid w:val="00942607"/>
    <w:rsid w:val="009436A4"/>
    <w:rsid w:val="00947125"/>
    <w:rsid w:val="0095588B"/>
    <w:rsid w:val="009611DF"/>
    <w:rsid w:val="00963844"/>
    <w:rsid w:val="009713B4"/>
    <w:rsid w:val="00973060"/>
    <w:rsid w:val="009811AE"/>
    <w:rsid w:val="00982E90"/>
    <w:rsid w:val="00987220"/>
    <w:rsid w:val="00987A89"/>
    <w:rsid w:val="00996707"/>
    <w:rsid w:val="009B3FFF"/>
    <w:rsid w:val="009B5991"/>
    <w:rsid w:val="009B605A"/>
    <w:rsid w:val="009C0B1E"/>
    <w:rsid w:val="009C3DF7"/>
    <w:rsid w:val="009C7BD6"/>
    <w:rsid w:val="009D5E0F"/>
    <w:rsid w:val="009E0A9A"/>
    <w:rsid w:val="009F5616"/>
    <w:rsid w:val="00A00C4C"/>
    <w:rsid w:val="00A02F0C"/>
    <w:rsid w:val="00A0539D"/>
    <w:rsid w:val="00A06BCE"/>
    <w:rsid w:val="00A17280"/>
    <w:rsid w:val="00A33091"/>
    <w:rsid w:val="00A40FA0"/>
    <w:rsid w:val="00A42171"/>
    <w:rsid w:val="00A56496"/>
    <w:rsid w:val="00A648A4"/>
    <w:rsid w:val="00A6538D"/>
    <w:rsid w:val="00A72FB1"/>
    <w:rsid w:val="00A81096"/>
    <w:rsid w:val="00A82C40"/>
    <w:rsid w:val="00A90345"/>
    <w:rsid w:val="00AA3043"/>
    <w:rsid w:val="00AB28DE"/>
    <w:rsid w:val="00AB3F10"/>
    <w:rsid w:val="00AB5C71"/>
    <w:rsid w:val="00AB7549"/>
    <w:rsid w:val="00AC22D6"/>
    <w:rsid w:val="00AC4072"/>
    <w:rsid w:val="00AF4DC1"/>
    <w:rsid w:val="00B06838"/>
    <w:rsid w:val="00B171F3"/>
    <w:rsid w:val="00B215EE"/>
    <w:rsid w:val="00B45C9F"/>
    <w:rsid w:val="00B5592A"/>
    <w:rsid w:val="00B7011E"/>
    <w:rsid w:val="00B860B0"/>
    <w:rsid w:val="00B907AD"/>
    <w:rsid w:val="00B92BFC"/>
    <w:rsid w:val="00B9416D"/>
    <w:rsid w:val="00B9426E"/>
    <w:rsid w:val="00BB3B43"/>
    <w:rsid w:val="00BB6C9D"/>
    <w:rsid w:val="00BC1189"/>
    <w:rsid w:val="00BC1214"/>
    <w:rsid w:val="00BC1D32"/>
    <w:rsid w:val="00BC31A1"/>
    <w:rsid w:val="00BD5B00"/>
    <w:rsid w:val="00BE5167"/>
    <w:rsid w:val="00BE7CAF"/>
    <w:rsid w:val="00BF01CC"/>
    <w:rsid w:val="00BF10D8"/>
    <w:rsid w:val="00BF2BA4"/>
    <w:rsid w:val="00C06F58"/>
    <w:rsid w:val="00C2286C"/>
    <w:rsid w:val="00C2541E"/>
    <w:rsid w:val="00C3216F"/>
    <w:rsid w:val="00C33368"/>
    <w:rsid w:val="00C372F3"/>
    <w:rsid w:val="00C40CD0"/>
    <w:rsid w:val="00C53A7B"/>
    <w:rsid w:val="00C55903"/>
    <w:rsid w:val="00C57F2E"/>
    <w:rsid w:val="00C71255"/>
    <w:rsid w:val="00C91765"/>
    <w:rsid w:val="00C973D3"/>
    <w:rsid w:val="00CB1C8B"/>
    <w:rsid w:val="00CB7BA2"/>
    <w:rsid w:val="00CC396F"/>
    <w:rsid w:val="00CF2B5B"/>
    <w:rsid w:val="00D14B63"/>
    <w:rsid w:val="00D21587"/>
    <w:rsid w:val="00D32C37"/>
    <w:rsid w:val="00D3621E"/>
    <w:rsid w:val="00D4050F"/>
    <w:rsid w:val="00D460AD"/>
    <w:rsid w:val="00D475F9"/>
    <w:rsid w:val="00D53245"/>
    <w:rsid w:val="00D550F2"/>
    <w:rsid w:val="00D60D73"/>
    <w:rsid w:val="00D63250"/>
    <w:rsid w:val="00D71E0B"/>
    <w:rsid w:val="00D74552"/>
    <w:rsid w:val="00D81B9C"/>
    <w:rsid w:val="00D86F6D"/>
    <w:rsid w:val="00D9477B"/>
    <w:rsid w:val="00D97539"/>
    <w:rsid w:val="00D97FA6"/>
    <w:rsid w:val="00DA1462"/>
    <w:rsid w:val="00DB4711"/>
    <w:rsid w:val="00DD3711"/>
    <w:rsid w:val="00DE1210"/>
    <w:rsid w:val="00DE5160"/>
    <w:rsid w:val="00DF392F"/>
    <w:rsid w:val="00E13546"/>
    <w:rsid w:val="00E1767B"/>
    <w:rsid w:val="00E2077A"/>
    <w:rsid w:val="00E222AD"/>
    <w:rsid w:val="00E2244D"/>
    <w:rsid w:val="00E22E88"/>
    <w:rsid w:val="00E23D47"/>
    <w:rsid w:val="00E3147A"/>
    <w:rsid w:val="00E33957"/>
    <w:rsid w:val="00E35667"/>
    <w:rsid w:val="00E46553"/>
    <w:rsid w:val="00E55A8B"/>
    <w:rsid w:val="00E8191A"/>
    <w:rsid w:val="00E84A51"/>
    <w:rsid w:val="00EA18A1"/>
    <w:rsid w:val="00EA439A"/>
    <w:rsid w:val="00EA6B94"/>
    <w:rsid w:val="00EA73DD"/>
    <w:rsid w:val="00EA7FAC"/>
    <w:rsid w:val="00EC2853"/>
    <w:rsid w:val="00ED0499"/>
    <w:rsid w:val="00EE5D01"/>
    <w:rsid w:val="00EF67ED"/>
    <w:rsid w:val="00F05096"/>
    <w:rsid w:val="00F11E9B"/>
    <w:rsid w:val="00F21243"/>
    <w:rsid w:val="00F25A3C"/>
    <w:rsid w:val="00F326A2"/>
    <w:rsid w:val="00F32F38"/>
    <w:rsid w:val="00F44A5A"/>
    <w:rsid w:val="00F479E3"/>
    <w:rsid w:val="00F53979"/>
    <w:rsid w:val="00F612B8"/>
    <w:rsid w:val="00F62711"/>
    <w:rsid w:val="00F7552A"/>
    <w:rsid w:val="00F77CC4"/>
    <w:rsid w:val="00F848DA"/>
    <w:rsid w:val="00F90F74"/>
    <w:rsid w:val="00FD15B8"/>
    <w:rsid w:val="00FD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71C13-5EA3-4023-88DE-C6707D04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8E"/>
    <w:rPr>
      <w:lang w:val="en-GB" w:eastAsia="en-GB"/>
    </w:rPr>
  </w:style>
  <w:style w:type="paragraph" w:styleId="Heading1">
    <w:name w:val="heading 1"/>
    <w:basedOn w:val="Normal"/>
    <w:next w:val="Normal"/>
    <w:qFormat/>
    <w:rsid w:val="00B06838"/>
    <w:pPr>
      <w:keepNext/>
      <w:spacing w:before="240"/>
      <w:jc w:val="center"/>
      <w:outlineLvl w:val="0"/>
    </w:pPr>
    <w:rPr>
      <w:b/>
      <w:sz w:val="24"/>
      <w:lang w:val="fr-BE"/>
    </w:rPr>
  </w:style>
  <w:style w:type="paragraph" w:styleId="Heading2">
    <w:name w:val="heading 2"/>
    <w:basedOn w:val="Normal"/>
    <w:next w:val="Normal"/>
    <w:qFormat/>
    <w:rsid w:val="00B06838"/>
    <w:pPr>
      <w:keepNext/>
      <w:tabs>
        <w:tab w:val="left" w:pos="426"/>
      </w:tabs>
      <w:outlineLvl w:val="1"/>
    </w:pPr>
    <w:rPr>
      <w:sz w:val="24"/>
      <w:lang w:val="fr-BE"/>
    </w:rPr>
  </w:style>
  <w:style w:type="paragraph" w:styleId="Heading3">
    <w:name w:val="heading 3"/>
    <w:basedOn w:val="Normal"/>
    <w:next w:val="Normal"/>
    <w:qFormat/>
    <w:rsid w:val="00B06838"/>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6838"/>
    <w:pPr>
      <w:jc w:val="center"/>
    </w:pPr>
    <w:rPr>
      <w:b/>
      <w:sz w:val="28"/>
      <w:lang w:val="fr-BE"/>
    </w:rPr>
  </w:style>
  <w:style w:type="paragraph" w:styleId="Subtitle">
    <w:name w:val="Subtitle"/>
    <w:basedOn w:val="Normal"/>
    <w:qFormat/>
    <w:rsid w:val="00B06838"/>
    <w:pPr>
      <w:jc w:val="center"/>
    </w:pPr>
    <w:rPr>
      <w:b/>
      <w:sz w:val="28"/>
      <w:lang w:val="fr-BE"/>
    </w:rPr>
  </w:style>
  <w:style w:type="paragraph" w:styleId="BodyTextIndent">
    <w:name w:val="Body Text Indent"/>
    <w:basedOn w:val="Normal"/>
    <w:rsid w:val="00B06838"/>
    <w:pPr>
      <w:tabs>
        <w:tab w:val="left" w:pos="567"/>
      </w:tabs>
      <w:spacing w:after="120"/>
      <w:ind w:left="567" w:hanging="567"/>
      <w:jc w:val="both"/>
    </w:pPr>
    <w:rPr>
      <w:sz w:val="24"/>
    </w:rPr>
  </w:style>
  <w:style w:type="paragraph" w:styleId="BodyText">
    <w:name w:val="Body Text"/>
    <w:basedOn w:val="Normal"/>
    <w:rsid w:val="00B06838"/>
    <w:rPr>
      <w:sz w:val="24"/>
    </w:rPr>
  </w:style>
  <w:style w:type="paragraph" w:styleId="BodyTextIndent2">
    <w:name w:val="Body Text Indent 2"/>
    <w:basedOn w:val="Normal"/>
    <w:rsid w:val="00B06838"/>
    <w:pPr>
      <w:tabs>
        <w:tab w:val="num" w:pos="567"/>
        <w:tab w:val="num" w:pos="2160"/>
      </w:tabs>
      <w:spacing w:after="240"/>
      <w:ind w:left="567" w:hanging="567"/>
      <w:jc w:val="both"/>
    </w:pPr>
    <w:rPr>
      <w:sz w:val="24"/>
      <w:u w:val="single"/>
    </w:rPr>
  </w:style>
  <w:style w:type="paragraph" w:styleId="BodyTextIndent3">
    <w:name w:val="Body Text Indent 3"/>
    <w:basedOn w:val="Normal"/>
    <w:rsid w:val="00B06838"/>
    <w:pPr>
      <w:tabs>
        <w:tab w:val="left" w:pos="1276"/>
      </w:tabs>
      <w:spacing w:after="120"/>
      <w:ind w:left="1276" w:hanging="425"/>
      <w:jc w:val="both"/>
    </w:pPr>
    <w:rPr>
      <w:sz w:val="24"/>
    </w:rPr>
  </w:style>
  <w:style w:type="paragraph" w:styleId="BodyText2">
    <w:name w:val="Body Text 2"/>
    <w:basedOn w:val="Normal"/>
    <w:link w:val="BodyText2Char"/>
    <w:rsid w:val="00B06838"/>
    <w:pPr>
      <w:tabs>
        <w:tab w:val="num" w:pos="567"/>
      </w:tabs>
      <w:jc w:val="both"/>
    </w:pPr>
    <w:rPr>
      <w:sz w:val="24"/>
    </w:rPr>
  </w:style>
  <w:style w:type="paragraph" w:customStyle="1" w:styleId="Text3">
    <w:name w:val="Text 3"/>
    <w:basedOn w:val="Normal"/>
    <w:rsid w:val="00B06838"/>
    <w:pPr>
      <w:tabs>
        <w:tab w:val="left" w:pos="2302"/>
      </w:tabs>
      <w:spacing w:after="240"/>
      <w:ind w:left="1202"/>
      <w:jc w:val="both"/>
    </w:pPr>
    <w:rPr>
      <w:sz w:val="24"/>
    </w:rPr>
  </w:style>
  <w:style w:type="paragraph" w:styleId="Header">
    <w:name w:val="header"/>
    <w:basedOn w:val="Normal"/>
    <w:rsid w:val="00B06838"/>
    <w:pPr>
      <w:tabs>
        <w:tab w:val="center" w:pos="4320"/>
        <w:tab w:val="right" w:pos="8640"/>
      </w:tabs>
    </w:pPr>
  </w:style>
  <w:style w:type="paragraph" w:styleId="Footer">
    <w:name w:val="footer"/>
    <w:basedOn w:val="Normal"/>
    <w:rsid w:val="00B06838"/>
    <w:pPr>
      <w:tabs>
        <w:tab w:val="center" w:pos="4320"/>
        <w:tab w:val="right" w:pos="8640"/>
      </w:tabs>
    </w:pPr>
  </w:style>
  <w:style w:type="character" w:styleId="PageNumber">
    <w:name w:val="page number"/>
    <w:basedOn w:val="DefaultParagraphFont"/>
    <w:rsid w:val="00B06838"/>
  </w:style>
  <w:style w:type="paragraph" w:styleId="BodyText3">
    <w:name w:val="Body Text 3"/>
    <w:basedOn w:val="Normal"/>
    <w:rsid w:val="00B0683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B06838"/>
    <w:rPr>
      <w:color w:val="0000FF"/>
      <w:u w:val="single"/>
    </w:rPr>
  </w:style>
  <w:style w:type="paragraph" w:customStyle="1" w:styleId="Blockquote">
    <w:name w:val="Blockquote"/>
    <w:basedOn w:val="Normal"/>
    <w:rsid w:val="00B06838"/>
    <w:pPr>
      <w:widowControl w:val="0"/>
      <w:spacing w:before="100" w:after="100"/>
      <w:ind w:left="360" w:right="360"/>
    </w:pPr>
    <w:rPr>
      <w:snapToGrid w:val="0"/>
      <w:sz w:val="24"/>
      <w:lang w:val="en-US" w:eastAsia="en-US"/>
    </w:rPr>
  </w:style>
  <w:style w:type="character" w:styleId="Emphasis">
    <w:name w:val="Emphasis"/>
    <w:qFormat/>
    <w:rsid w:val="00B06838"/>
    <w:rPr>
      <w:i/>
    </w:rPr>
  </w:style>
  <w:style w:type="character" w:styleId="Strong">
    <w:name w:val="Strong"/>
    <w:qFormat/>
    <w:rsid w:val="00B06838"/>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68734037">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a.mitrovic@asb-se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is@iris-see.eu"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2144-CE51-46A9-A7CF-5B49E246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22567</CharactersWithSpaces>
  <SharedDoc>false</SharedDoc>
  <HLinks>
    <vt:vector size="24" baseType="variant">
      <vt:variant>
        <vt:i4>3670117</vt:i4>
      </vt:variant>
      <vt:variant>
        <vt:i4>18</vt:i4>
      </vt:variant>
      <vt:variant>
        <vt:i4>0</vt:i4>
      </vt:variant>
      <vt:variant>
        <vt:i4>5</vt:i4>
      </vt:variant>
      <vt:variant>
        <vt:lpwstr>http://ec.europa.eu/europeaid/prag/document.do</vt:lpwstr>
      </vt:variant>
      <vt:variant>
        <vt:lpwstr/>
      </vt:variant>
      <vt:variant>
        <vt:i4>3866624</vt:i4>
      </vt:variant>
      <vt:variant>
        <vt:i4>12</vt:i4>
      </vt:variant>
      <vt:variant>
        <vt:i4>0</vt:i4>
      </vt:variant>
      <vt:variant>
        <vt:i4>5</vt:i4>
      </vt:variant>
      <vt:variant>
        <vt:lpwstr>mailto:masa.mitrovic@asb-see.rs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Windows User</cp:lastModifiedBy>
  <cp:revision>8</cp:revision>
  <cp:lastPrinted>2016-03-15T13:51:00Z</cp:lastPrinted>
  <dcterms:created xsi:type="dcterms:W3CDTF">2019-02-21T11:33:00Z</dcterms:created>
  <dcterms:modified xsi:type="dcterms:W3CDTF">2019-02-21T14:37:00Z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